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bookmarkEnd w:id="2"/>
    <w:bookmarkEnd w:id="3"/>
    <w:p w:rsidR="00E65F00" w:rsidRPr="00E37489" w:rsidRDefault="00E65F00" w:rsidP="00E65F00">
      <w:pPr>
        <w:pStyle w:val="Titolo1"/>
        <w:spacing w:before="0"/>
        <w:jc w:val="both"/>
        <w:rPr>
          <w:rFonts w:ascii="Garamond" w:hAnsi="Garamond" w:cs="Calibri"/>
          <w:b/>
          <w:color w:val="auto"/>
          <w:sz w:val="24"/>
          <w:szCs w:val="24"/>
        </w:rPr>
      </w:pPr>
      <w:r w:rsidRPr="00E37489">
        <w:rPr>
          <w:rFonts w:ascii="Garamond" w:hAnsi="Garamond" w:cs="Calibri"/>
          <w:b/>
          <w:color w:val="auto"/>
          <w:sz w:val="24"/>
          <w:szCs w:val="24"/>
        </w:rPr>
        <w:t>PROCEDURA NEGOZIATA, TRAMITE PIATTAFORMA INFORMATICA MEPA DI CONSIP, AI SENSI DELL’ ART. 36, COMMA 2, LETT. B, DEL D.LGS 50/2016, PER L’AFFIDAMENTO DEL SERVIZIO DI PROGRAMMAZIONE ED ORGANIZZAZIONE DELLE ATTIVITA’ RELATIVE AL PROGETTO S.A.P. RIVOLTO AD UTENTI DISABILI DEI COMUNI DI ALBINEA (</w:t>
      </w:r>
      <w:r w:rsidR="0050773A" w:rsidRPr="00E37489">
        <w:rPr>
          <w:rFonts w:ascii="Garamond" w:hAnsi="Garamond" w:cs="Calibri"/>
          <w:b/>
          <w:color w:val="auto"/>
          <w:sz w:val="24"/>
          <w:szCs w:val="24"/>
        </w:rPr>
        <w:t>RE</w:t>
      </w:r>
      <w:r w:rsidRPr="00E37489">
        <w:rPr>
          <w:rFonts w:ascii="Garamond" w:hAnsi="Garamond" w:cs="Calibri"/>
          <w:b/>
          <w:color w:val="auto"/>
          <w:sz w:val="24"/>
          <w:szCs w:val="24"/>
        </w:rPr>
        <w:t>) E VEZZANO SUL CROSTOLO (RE) PER IL PERIODO 01/10/2018 – 30/09/2020.</w:t>
      </w:r>
    </w:p>
    <w:p w:rsidR="00E65F00" w:rsidRPr="00E37489" w:rsidRDefault="00E65F00" w:rsidP="00E65F00">
      <w:pPr>
        <w:rPr>
          <w:rFonts w:ascii="Garamond" w:hAnsi="Garamond"/>
          <w:b/>
          <w:sz w:val="24"/>
          <w:szCs w:val="24"/>
        </w:rPr>
      </w:pPr>
    </w:p>
    <w:p w:rsidR="00E65F00" w:rsidRPr="00E37489" w:rsidRDefault="00E65F00" w:rsidP="00E65F00">
      <w:pPr>
        <w:pStyle w:val="Titolo1"/>
        <w:spacing w:before="0"/>
        <w:jc w:val="center"/>
        <w:rPr>
          <w:rFonts w:ascii="Garamond" w:hAnsi="Garamond" w:cs="Calibri"/>
          <w:b/>
          <w:color w:val="auto"/>
          <w:sz w:val="24"/>
          <w:szCs w:val="24"/>
        </w:rPr>
      </w:pPr>
      <w:bookmarkStart w:id="8" w:name="_GoBack"/>
      <w:bookmarkEnd w:id="8"/>
      <w:r w:rsidRPr="00E37489">
        <w:rPr>
          <w:rFonts w:ascii="Garamond" w:hAnsi="Garamond" w:cs="Calibri"/>
          <w:b/>
          <w:color w:val="auto"/>
          <w:sz w:val="24"/>
          <w:szCs w:val="24"/>
        </w:rPr>
        <w:t>CIG  7607405533</w:t>
      </w:r>
    </w:p>
    <w:p w:rsidR="00E65F00" w:rsidRDefault="00E65F00" w:rsidP="0050729A">
      <w:pPr>
        <w:widowControl/>
        <w:spacing w:line="276" w:lineRule="auto"/>
        <w:ind w:left="-57"/>
        <w:jc w:val="both"/>
        <w:rPr>
          <w:rFonts w:ascii="Garamond" w:hAnsi="Garamond" w:cs="Tahoma"/>
          <w:sz w:val="24"/>
          <w:szCs w:val="24"/>
        </w:rPr>
      </w:pPr>
    </w:p>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D07F18" w:rsidRDefault="00D07F18" w:rsidP="0050729A">
      <w:pPr>
        <w:pStyle w:val="sche3"/>
        <w:ind w:left="360"/>
        <w:jc w:val="center"/>
        <w:rPr>
          <w:rFonts w:ascii="Garamond" w:hAnsi="Garamond" w:cs="Tahoma"/>
          <w:sz w:val="24"/>
          <w:szCs w:val="24"/>
          <w:u w:val="single"/>
          <w:lang w:val="it-IT"/>
        </w:rPr>
      </w:pPr>
    </w:p>
    <w:p w:rsidR="00D07F18" w:rsidRDefault="00D07F18" w:rsidP="00D07F18">
      <w:pPr>
        <w:pStyle w:val="Default"/>
        <w:ind w:left="720"/>
        <w:jc w:val="center"/>
        <w:rPr>
          <w:b/>
          <w:bCs/>
        </w:rPr>
      </w:pPr>
      <w:r w:rsidRPr="00D07F18">
        <w:rPr>
          <w:b/>
          <w:bCs/>
        </w:rPr>
        <w:t>D I C H I A R A</w:t>
      </w:r>
    </w:p>
    <w:p w:rsidR="00D07F18" w:rsidRPr="00D07F18" w:rsidRDefault="00D07F18" w:rsidP="00D07F18">
      <w:pPr>
        <w:pStyle w:val="Default"/>
        <w:ind w:left="720"/>
        <w:jc w:val="center"/>
      </w:pPr>
    </w:p>
    <w:p w:rsidR="00D07F18" w:rsidRPr="00D07F18" w:rsidRDefault="00D07F18" w:rsidP="00D07F18">
      <w:pPr>
        <w:pStyle w:val="Default"/>
        <w:numPr>
          <w:ilvl w:val="0"/>
          <w:numId w:val="7"/>
        </w:numPr>
        <w:jc w:val="both"/>
      </w:pPr>
      <w:proofErr w:type="gramStart"/>
      <w:r w:rsidRPr="00D07F18">
        <w:t>di</w:t>
      </w:r>
      <w:proofErr w:type="gramEnd"/>
      <w:r w:rsidRPr="00D07F18">
        <w:t xml:space="preserve"> partecipare alla procedura di gara in qualità di (</w:t>
      </w:r>
      <w:r w:rsidRPr="00D07F18">
        <w:rPr>
          <w:i/>
          <w:iCs/>
        </w:rPr>
        <w:t xml:space="preserve">Art. 45, commi 1 e 2, del D. </w:t>
      </w:r>
      <w:proofErr w:type="spellStart"/>
      <w:r w:rsidRPr="00D07F18">
        <w:rPr>
          <w:i/>
          <w:iCs/>
        </w:rPr>
        <w:t>Lgs</w:t>
      </w:r>
      <w:proofErr w:type="spellEnd"/>
      <w:r w:rsidRPr="00D07F18">
        <w:rPr>
          <w:i/>
          <w:iCs/>
        </w:rPr>
        <w:t>. 50/2016):</w:t>
      </w: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sidRPr="00D07F18">
        <w:rPr>
          <w:b/>
          <w:bCs/>
        </w:rPr>
        <w:t xml:space="preserve"> </w:t>
      </w:r>
      <w:r w:rsidRPr="00D07F18">
        <w:rPr>
          <w:b/>
          <w:bCs/>
          <w:u w:val="single"/>
        </w:rPr>
        <w:t xml:space="preserve">Concorrente </w:t>
      </w:r>
      <w:proofErr w:type="gramStart"/>
      <w:r w:rsidRPr="00D07F18">
        <w:rPr>
          <w:b/>
          <w:bCs/>
          <w:u w:val="single"/>
        </w:rPr>
        <w:t xml:space="preserve">singolo </w:t>
      </w:r>
      <w:r w:rsidRPr="00D07F18">
        <w:rPr>
          <w:u w:val="single"/>
        </w:rPr>
        <w:t>;</w:t>
      </w:r>
      <w:proofErr w:type="gramEnd"/>
      <w:r w:rsidRPr="00D07F18">
        <w:rPr>
          <w:u w:val="single"/>
        </w:rPr>
        <w:t xml:space="preserve"> </w:t>
      </w:r>
    </w:p>
    <w:p w:rsidR="00D07F18" w:rsidRPr="00D07F18" w:rsidRDefault="00D07F18" w:rsidP="00D07F18">
      <w:pPr>
        <w:pStyle w:val="Default"/>
        <w:jc w:val="both"/>
      </w:pP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Componente di costituendo o costituito RTC – Consorzio ordinario – GEIE </w:t>
      </w:r>
      <w:r w:rsidRPr="00D07F18">
        <w:t xml:space="preserve">insieme </w:t>
      </w:r>
      <w:proofErr w:type="gramStart"/>
      <w:r w:rsidRPr="00D07F18">
        <w:t>a:</w:t>
      </w:r>
      <w:r>
        <w:t>_</w:t>
      </w:r>
      <w:proofErr w:type="gramEnd"/>
      <w:r>
        <w:t>__________________________________________________________________________________________________________________________________________________________________________________________________________________________________________</w:t>
      </w:r>
    </w:p>
    <w:p w:rsidR="00D07F18" w:rsidRPr="00D07F18" w:rsidRDefault="00D07F18" w:rsidP="00D07F18">
      <w:pPr>
        <w:pStyle w:val="Default"/>
        <w:jc w:val="both"/>
      </w:pPr>
    </w:p>
    <w:p w:rsidR="00D07F18" w:rsidRPr="00D07F18" w:rsidRDefault="00D07F18" w:rsidP="00D07F18">
      <w:pPr>
        <w:pStyle w:val="Default"/>
        <w:jc w:val="both"/>
      </w:pPr>
    </w:p>
    <w:p w:rsidR="00D07F18" w:rsidRDefault="00D07F18" w:rsidP="00D07F18">
      <w:pPr>
        <w:pStyle w:val="Default"/>
        <w:ind w:left="1440" w:hanging="568"/>
        <w:jc w:val="both"/>
        <w:rPr>
          <w:bCs/>
        </w:rPr>
      </w:pPr>
      <w:r w:rsidRPr="00D07F18">
        <w:rPr>
          <w:b/>
          <w:bCs/>
        </w:rPr>
        <w:sym w:font="Wingdings" w:char="F0A8"/>
      </w:r>
      <w:r>
        <w:rPr>
          <w:b/>
          <w:bCs/>
        </w:rPr>
        <w:t xml:space="preserve"> </w:t>
      </w:r>
      <w:r>
        <w:rPr>
          <w:b/>
          <w:bCs/>
          <w:u w:val="single"/>
        </w:rPr>
        <w:t>Consorziata del consorzio</w:t>
      </w:r>
      <w:r>
        <w:rPr>
          <w:bCs/>
        </w:rPr>
        <w:t>: ___________________________________________</w:t>
      </w:r>
    </w:p>
    <w:p w:rsidR="00D07F18" w:rsidRPr="0050773A" w:rsidRDefault="00D07F18" w:rsidP="00D07F18">
      <w:pPr>
        <w:pStyle w:val="Default"/>
        <w:ind w:left="1440" w:hanging="568"/>
        <w:jc w:val="both"/>
        <w:rPr>
          <w:lang w:val="en-US"/>
        </w:rPr>
      </w:pPr>
      <w:r w:rsidRPr="0050773A">
        <w:rPr>
          <w:lang w:val="en-US"/>
        </w:rPr>
        <w:t xml:space="preserve">(art. 45, comma 2 </w:t>
      </w:r>
      <w:proofErr w:type="spellStart"/>
      <w:r w:rsidRPr="0050773A">
        <w:rPr>
          <w:lang w:val="en-US"/>
        </w:rPr>
        <w:t>lett</w:t>
      </w:r>
      <w:proofErr w:type="spellEnd"/>
      <w:r w:rsidRPr="0050773A">
        <w:rPr>
          <w:lang w:val="en-US"/>
        </w:rPr>
        <w:t xml:space="preserve">. b), c) </w:t>
      </w:r>
      <w:proofErr w:type="spellStart"/>
      <w:r w:rsidRPr="0050773A">
        <w:rPr>
          <w:lang w:val="en-US"/>
        </w:rPr>
        <w:t>D.Lgs</w:t>
      </w:r>
      <w:proofErr w:type="spellEnd"/>
      <w:r w:rsidRPr="0050773A">
        <w:rPr>
          <w:lang w:val="en-US"/>
        </w:rPr>
        <w:t>. 50/2016):</w:t>
      </w:r>
    </w:p>
    <w:p w:rsidR="00D07F18" w:rsidRPr="0050773A" w:rsidRDefault="00D07F18" w:rsidP="00D07F18">
      <w:pPr>
        <w:pStyle w:val="Default"/>
        <w:jc w:val="both"/>
        <w:rPr>
          <w:lang w:val="en-US"/>
        </w:rPr>
      </w:pPr>
    </w:p>
    <w:p w:rsidR="00D07F18" w:rsidRPr="0050773A" w:rsidRDefault="00D07F18" w:rsidP="00D07F18">
      <w:pPr>
        <w:pStyle w:val="Default"/>
        <w:jc w:val="both"/>
        <w:rPr>
          <w:lang w:val="en-US"/>
        </w:rPr>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Impresa aderente al contratto di rete </w:t>
      </w:r>
      <w:r w:rsidRPr="00D07F18">
        <w:t xml:space="preserve">ai sensi dell’art. 3, comma 4-ter, del D.L. 10 febbraio 2009, n. 5, convertito con modificazioni dalla L. 9 aprile 2009, n. 33 (art. 45, comma 2 lettera f) </w:t>
      </w:r>
      <w:proofErr w:type="spellStart"/>
      <w:r w:rsidRPr="00D07F18">
        <w:t>D.Lgs.</w:t>
      </w:r>
      <w:proofErr w:type="spellEnd"/>
      <w:r w:rsidRPr="00D07F18">
        <w:t xml:space="preserve"> 50/2016):</w:t>
      </w:r>
    </w:p>
    <w:p w:rsidR="00D07F18" w:rsidRPr="001C1D5D" w:rsidRDefault="00D07F18" w:rsidP="0050729A">
      <w:pPr>
        <w:pStyle w:val="sche3"/>
        <w:ind w:left="360"/>
        <w:jc w:val="center"/>
        <w:rPr>
          <w:rFonts w:ascii="Garamond" w:hAnsi="Garamond" w:cs="Tahoma"/>
          <w:sz w:val="24"/>
          <w:szCs w:val="24"/>
          <w:u w:val="single"/>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00D07F18">
        <w:rPr>
          <w:rFonts w:ascii="Garamond" w:eastAsia="Tahoma" w:hAnsi="Garamond" w:cs="Tahoma"/>
          <w:szCs w:val="24"/>
        </w:rPr>
        <w:t xml:space="preserve"> (</w:t>
      </w:r>
      <w:r w:rsidRPr="00D07F18">
        <w:rPr>
          <w:rFonts w:ascii="Garamond" w:eastAsia="Tahoma" w:hAnsi="Garamond" w:cs="Tahoma"/>
          <w:szCs w:val="24"/>
        </w:rPr>
        <w:footnoteReference w:id="2"/>
      </w:r>
      <w:r w:rsidR="00D07F18">
        <w:rPr>
          <w:rFonts w:ascii="Garamond" w:eastAsia="Tahoma" w:hAnsi="Garamond" w:cs="Tahoma"/>
          <w:szCs w:val="24"/>
        </w:rPr>
        <w:t>)</w:t>
      </w:r>
      <w:r w:rsidRPr="001C1D5D">
        <w:rPr>
          <w:rFonts w:ascii="Garamond" w:eastAsia="Tahoma" w:hAnsi="Garamond" w:cs="Tahoma"/>
          <w:szCs w:val="24"/>
        </w:rPr>
        <w:t>, del Codice, ovvero indica la banca dati ufficiale o il pubblico registro da cui i medesimi possono essere ricavati in modo aggiornato alla data di presentazione dell’offerta</w:t>
      </w:r>
      <w:r w:rsidR="00D07F18">
        <w:rPr>
          <w:rFonts w:ascii="Garamond" w:eastAsia="Tahoma" w:hAnsi="Garamond" w:cs="Tahoma"/>
          <w:szCs w:val="24"/>
        </w:rPr>
        <w:t xml:space="preserve"> (</w:t>
      </w:r>
      <w:r w:rsidRPr="001C1D5D">
        <w:rPr>
          <w:rFonts w:ascii="Garamond" w:eastAsia="Tahoma" w:hAnsi="Garamond" w:cs="Tahoma"/>
          <w:szCs w:val="24"/>
        </w:rPr>
        <w:footnoteReference w:id="3"/>
      </w:r>
      <w:r w:rsidR="00D07F18">
        <w:rPr>
          <w:rFonts w:ascii="Garamond" w:eastAsia="Tahoma" w:hAnsi="Garamond" w:cs="Tahoma"/>
          <w:szCs w:val="24"/>
        </w:rPr>
        <w:t>)</w:t>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00D07F18">
        <w:rPr>
          <w:rFonts w:ascii="Garamond" w:eastAsia="Tahoma" w:hAnsi="Garamond" w:cs="Tahoma"/>
          <w:szCs w:val="24"/>
        </w:rPr>
        <w:t xml:space="preserve"> (3)</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lastRenderedPageBreak/>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Requisiti di </w:t>
      </w:r>
      <w:r w:rsidR="00E65F00">
        <w:rPr>
          <w:rFonts w:ascii="Garamond" w:eastAsia="Tahoma" w:hAnsi="Garamond" w:cs="Tahoma"/>
          <w:szCs w:val="24"/>
        </w:rPr>
        <w:t>capacità economica e finanziaria</w:t>
      </w:r>
      <w:r w:rsidRPr="001C1D5D">
        <w:rPr>
          <w:rFonts w:ascii="Garamond" w:eastAsia="Tahoma" w:hAnsi="Garamond" w:cs="Tahoma"/>
          <w:szCs w:val="24"/>
        </w:rPr>
        <w:t>:</w:t>
      </w:r>
    </w:p>
    <w:p w:rsidR="00E65F00" w:rsidRPr="001C1D5D" w:rsidRDefault="00E65F00" w:rsidP="00E65F00">
      <w:pPr>
        <w:pStyle w:val="Standard"/>
        <w:widowControl w:val="0"/>
        <w:tabs>
          <w:tab w:val="left" w:pos="-15780"/>
          <w:tab w:val="left" w:pos="-14788"/>
        </w:tabs>
        <w:spacing w:line="360" w:lineRule="auto"/>
        <w:jc w:val="both"/>
        <w:rPr>
          <w:rFonts w:ascii="Garamond" w:hAnsi="Garamond"/>
          <w:szCs w:val="24"/>
        </w:rPr>
      </w:pPr>
      <w:r>
        <w:rPr>
          <w:rFonts w:ascii="Garamond" w:hAnsi="Garamond"/>
          <w:szCs w:val="24"/>
        </w:rPr>
        <w:t xml:space="preserve">- aver espletato negli ultimi tre anni (2017 – 2016 – 2015) servizi analoghi nel settore oggetto della gara per un importo complessivo almeno pari ad € 142.000,00   </w:t>
      </w:r>
      <w:r w:rsidRPr="001C1D5D">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5F3899" w:rsidRDefault="00E65F00" w:rsidP="005F3899">
      <w:pPr>
        <w:pStyle w:val="Standard"/>
        <w:widowControl w:val="0"/>
        <w:tabs>
          <w:tab w:val="left" w:pos="-15780"/>
          <w:tab w:val="left" w:pos="-14788"/>
        </w:tabs>
        <w:spacing w:line="360" w:lineRule="auto"/>
        <w:jc w:val="both"/>
        <w:rPr>
          <w:rFonts w:ascii="Garamond" w:hAnsi="Garamond"/>
          <w:szCs w:val="24"/>
        </w:rPr>
      </w:pPr>
      <w:r>
        <w:rPr>
          <w:rFonts w:ascii="Garamond" w:hAnsi="Garamond"/>
          <w:szCs w:val="24"/>
        </w:rPr>
        <w:t>- indicare anno, importo e committente:</w:t>
      </w:r>
    </w:p>
    <w:tbl>
      <w:tblPr>
        <w:tblStyle w:val="Grigliatabella"/>
        <w:tblW w:w="0" w:type="auto"/>
        <w:tblLook w:val="04A0" w:firstRow="1" w:lastRow="0" w:firstColumn="1" w:lastColumn="0" w:noHBand="0" w:noVBand="1"/>
      </w:tblPr>
      <w:tblGrid>
        <w:gridCol w:w="3396"/>
        <w:gridCol w:w="3397"/>
        <w:gridCol w:w="3397"/>
      </w:tblGrid>
      <w:tr w:rsidR="00E65F00" w:rsidTr="00E65F00">
        <w:tc>
          <w:tcPr>
            <w:tcW w:w="3396"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r>
              <w:rPr>
                <w:rFonts w:ascii="Garamond" w:hAnsi="Garamond"/>
                <w:szCs w:val="24"/>
              </w:rPr>
              <w:t>ANNO</w:t>
            </w: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r>
              <w:rPr>
                <w:rFonts w:ascii="Garamond" w:hAnsi="Garamond"/>
                <w:szCs w:val="24"/>
              </w:rPr>
              <w:t>IMPORTO</w:t>
            </w: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r>
              <w:rPr>
                <w:rFonts w:ascii="Garamond" w:hAnsi="Garamond"/>
                <w:szCs w:val="24"/>
              </w:rPr>
              <w:t>COMMITTENTE</w:t>
            </w:r>
          </w:p>
        </w:tc>
      </w:tr>
      <w:tr w:rsidR="00E65F00" w:rsidTr="00E65F00">
        <w:tc>
          <w:tcPr>
            <w:tcW w:w="3396"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r>
      <w:tr w:rsidR="00E65F00" w:rsidTr="00E65F00">
        <w:tc>
          <w:tcPr>
            <w:tcW w:w="3396"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r>
      <w:tr w:rsidR="00E65F00" w:rsidTr="00E65F00">
        <w:tc>
          <w:tcPr>
            <w:tcW w:w="3396"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c>
          <w:tcPr>
            <w:tcW w:w="3397" w:type="dxa"/>
          </w:tcPr>
          <w:p w:rsidR="00E65F00" w:rsidRDefault="00E65F00" w:rsidP="00E65F00">
            <w:pPr>
              <w:pStyle w:val="Standard"/>
              <w:widowControl w:val="0"/>
              <w:tabs>
                <w:tab w:val="left" w:pos="-15780"/>
                <w:tab w:val="left" w:pos="-14788"/>
              </w:tabs>
              <w:spacing w:line="360" w:lineRule="auto"/>
              <w:jc w:val="center"/>
              <w:rPr>
                <w:rFonts w:ascii="Garamond" w:hAnsi="Garamond"/>
                <w:szCs w:val="24"/>
              </w:rPr>
            </w:pPr>
          </w:p>
        </w:tc>
      </w:tr>
    </w:tbl>
    <w:p w:rsidR="00E65F00" w:rsidRDefault="00E65F00" w:rsidP="005F3899">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proofErr w:type="gramStart"/>
      <w:r w:rsidRPr="001C1D5D">
        <w:rPr>
          <w:rFonts w:ascii="Garamond" w:eastAsia="Tahoma" w:hAnsi="Garamond" w:cs="Tahoma"/>
          <w:b/>
          <w:szCs w:val="24"/>
        </w:rPr>
        <w:t>)?</w:t>
      </w:r>
      <w:r w:rsidRPr="001C1D5D">
        <w:rPr>
          <w:rFonts w:ascii="Garamond" w:eastAsia="Tahoma" w:hAnsi="Garamond" w:cs="Tahoma"/>
          <w:szCs w:val="24"/>
        </w:rPr>
        <w:t>:</w:t>
      </w:r>
      <w:proofErr w:type="gramEnd"/>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 xml:space="preserve">In caso di risposta affermativa, l’operatore economico si impegna ad allegare, oltre a quanto già dichiarato </w:t>
      </w:r>
      <w:proofErr w:type="gramStart"/>
      <w:r w:rsidRPr="001C1D5D">
        <w:rPr>
          <w:rFonts w:ascii="Garamond" w:eastAsia="Tahoma" w:hAnsi="Garamond" w:cs="Tahoma"/>
          <w:szCs w:val="24"/>
        </w:rPr>
        <w:t>nel  DGUE</w:t>
      </w:r>
      <w:proofErr w:type="gramEnd"/>
      <w:r w:rsidRPr="001C1D5D">
        <w:rPr>
          <w:rFonts w:ascii="Garamond" w:eastAsia="Tahoma" w:hAnsi="Garamond" w:cs="Tahoma"/>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6va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jyD8tNLFO0zn&#10;Fq6nRWJ/b6jhCZE/FMx/vMs6w3TGqjOoYqWG9mAOujYs7h2scRjrGmR6Uq8NwzUqovS3jdOiwvHr&#10;kwpx4wIuHi9uvCTxZhuuPWp/lS//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DSw6va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w:t>
      </w:r>
      <w:proofErr w:type="gramStart"/>
      <w:r w:rsidRPr="001C1D5D">
        <w:rPr>
          <w:rFonts w:ascii="Garamond" w:eastAsia="Tahoma" w:hAnsi="Garamond" w:cs="Tahoma"/>
          <w:szCs w:val="24"/>
        </w:rPr>
        <w:t xml:space="preserve">avvalimento: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iO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lRNEG9ugR1c5Rmq61C0A8t08mriyYWOdemAbfUAHZezlfBzn53hEGf07nxSwD0Rm4og0s&#10;6dvHbGvdV649Ed19ty7sRgmW17KMCQkgEY2EjdlRSbq4aYM3H3urY+9k7O03fPh2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 rilasciata dall’impresa ausiliaria, attestante il possesso dei requisiti tecnici e delle risorse oggetto di avvalimento (Contenuta nell’Allegato 3 che si allega</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xml:space="preserve">. 50/2016, sottoscritta dall’ausiliaria con la quale quest’ultima attesta di non partecipare alla gara in proprio o come associata o consorziata </w:t>
      </w:r>
      <w:r w:rsidRPr="001C1D5D">
        <w:rPr>
          <w:rFonts w:ascii="Garamond" w:hAnsi="Garamond"/>
          <w:szCs w:val="24"/>
        </w:rPr>
        <w:t>(Contenuta nell’Allegato 3 che si allega</w:t>
      </w:r>
      <w:proofErr w:type="gramStart"/>
      <w:r w:rsidRPr="001C1D5D">
        <w:rPr>
          <w:rFonts w:ascii="Garamond" w:hAnsi="Garamond"/>
          <w:szCs w:val="24"/>
        </w:rPr>
        <w:t>)</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xml:space="preserve">: indicare quale percentuale dei lavori e quali parti dei lavori l’operatore economico intende subappaltare a </w:t>
      </w:r>
      <w:proofErr w:type="gramStart"/>
      <w:r w:rsidRPr="001C1D5D">
        <w:rPr>
          <w:rFonts w:ascii="Garamond" w:eastAsia="Tahoma" w:hAnsi="Garamond" w:cs="Tahoma"/>
          <w:szCs w:val="24"/>
        </w:rPr>
        <w:t>terzi:</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h9qfhprctXmM4d&#10;XE/LxP7eUsMTIr8pmP94l/WG6Y11b1DFKg3twRx0bVjcO1jjMNYNyPRdPbcM16iI0l+2Tosax69P&#10;KsSNC7h4vLjxksSbbbz2qLerfPUH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O+p29GQMAABI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aO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w:t>
      </w:r>
      <w:r w:rsidR="00FF5177">
        <w:rPr>
          <w:rFonts w:ascii="Garamond" w:eastAsia="Tahoma" w:hAnsi="Garamond" w:cs="Tahoma"/>
          <w:szCs w:val="24"/>
        </w:rPr>
        <w:t>dal capitolato speciale d’appalto</w:t>
      </w:r>
      <w:r w:rsidRPr="001C1D5D">
        <w:rPr>
          <w:rFonts w:ascii="Garamond" w:eastAsia="Tahoma" w:hAnsi="Garamond" w:cs="Tahoma"/>
          <w:szCs w:val="24"/>
        </w:rPr>
        <w:t xml:space="preserve">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w:t>
      </w:r>
      <w:proofErr w:type="gramStart"/>
      <w:r w:rsidRPr="001C1D5D">
        <w:rPr>
          <w:rFonts w:ascii="Garamond" w:hAnsi="Garamond"/>
          <w:szCs w:val="24"/>
        </w:rPr>
        <w:t>compres</w:t>
      </w:r>
      <w:r w:rsidR="00C2003A">
        <w:rPr>
          <w:rFonts w:ascii="Garamond" w:hAnsi="Garamond"/>
          <w:szCs w:val="24"/>
        </w:rPr>
        <w:t>e</w:t>
      </w:r>
      <w:r w:rsidRPr="001C1D5D">
        <w:rPr>
          <w:rFonts w:ascii="Garamond" w:hAnsi="Garamond"/>
          <w:szCs w:val="24"/>
        </w:rPr>
        <w:t xml:space="preserve">  le</w:t>
      </w:r>
      <w:proofErr w:type="gramEnd"/>
      <w:r w:rsidRPr="001C1D5D">
        <w:rPr>
          <w:rFonts w:ascii="Garamond" w:hAnsi="Garamond"/>
          <w:szCs w:val="24"/>
        </w:rPr>
        <w:t xml:space="preserv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w:t>
      </w:r>
      <w:r w:rsidR="00FF5177">
        <w:rPr>
          <w:rFonts w:ascii="Garamond" w:hAnsi="Garamond"/>
          <w:szCs w:val="24"/>
        </w:rPr>
        <w:t>l’Unione Colline Matildiche</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bb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XEj+tdPEO07mF&#10;62mR2N8banhC5A8F8x/vsm5husWqW1DFSg3twRx0bdjcO9jjMNY1yPSkXhuGe1RE6W8bp0WF49cH&#10;FfzGDVw8Xtx4SeLNNtx71P4qX/4B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oli22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RAGA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C2003A" w:rsidRDefault="00C2003A"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Fz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P5U46e1Ll9hOndw&#10;PS0T+3tLDU+I/KZg/uNd1i9Mv1j3C6pYpaE9mIOuDZt7B3scxroBmb6r55bhHhVR+svWaVHj+PVB&#10;Bb9xAxePFzdeknizjfce9XaVr/4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Nojxc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50773A">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50773A">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1C2F7F22"/>
    <w:multiLevelType w:val="hybridMultilevel"/>
    <w:tmpl w:val="43C0A804"/>
    <w:lvl w:ilvl="0" w:tplc="5E3A5B7E">
      <w:numFmt w:val="bullet"/>
      <w:lvlText w:val="-"/>
      <w:lvlJc w:val="left"/>
      <w:pPr>
        <w:ind w:left="720" w:hanging="360"/>
      </w:pPr>
      <w:rPr>
        <w:rFonts w:ascii="Garamond" w:eastAsiaTheme="minorHAnsi" w:hAnsi="Garamond" w:cs="Garamond"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6"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65C13"/>
    <w:rsid w:val="001C1D5D"/>
    <w:rsid w:val="002E5566"/>
    <w:rsid w:val="003472BA"/>
    <w:rsid w:val="0036314F"/>
    <w:rsid w:val="003A656E"/>
    <w:rsid w:val="004038C3"/>
    <w:rsid w:val="00493AE7"/>
    <w:rsid w:val="004E17A6"/>
    <w:rsid w:val="0050729A"/>
    <w:rsid w:val="0050773A"/>
    <w:rsid w:val="005D1904"/>
    <w:rsid w:val="005E4DC9"/>
    <w:rsid w:val="005F3899"/>
    <w:rsid w:val="00625DFE"/>
    <w:rsid w:val="00666464"/>
    <w:rsid w:val="00674293"/>
    <w:rsid w:val="00802030"/>
    <w:rsid w:val="00882B78"/>
    <w:rsid w:val="009F2CF8"/>
    <w:rsid w:val="00A776D9"/>
    <w:rsid w:val="00AF332D"/>
    <w:rsid w:val="00C0166B"/>
    <w:rsid w:val="00C2003A"/>
    <w:rsid w:val="00CA5CB1"/>
    <w:rsid w:val="00CF50AC"/>
    <w:rsid w:val="00D0510C"/>
    <w:rsid w:val="00D07F18"/>
    <w:rsid w:val="00D930C9"/>
    <w:rsid w:val="00DF4966"/>
    <w:rsid w:val="00E65F00"/>
    <w:rsid w:val="00F8755F"/>
    <w:rsid w:val="00FD3DA5"/>
    <w:rsid w:val="00FF51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1">
    <w:name w:val="heading 1"/>
    <w:basedOn w:val="Normale"/>
    <w:next w:val="Normale"/>
    <w:link w:val="Titolo1Carattere"/>
    <w:uiPriority w:val="9"/>
    <w:qFormat/>
    <w:rsid w:val="00E65F0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D07F18"/>
    <w:pPr>
      <w:autoSpaceDE w:val="0"/>
      <w:autoSpaceDN w:val="0"/>
      <w:adjustRightInd w:val="0"/>
      <w:spacing w:after="0" w:line="240" w:lineRule="auto"/>
    </w:pPr>
    <w:rPr>
      <w:rFonts w:ascii="Garamond" w:hAnsi="Garamond" w:cs="Garamond"/>
      <w:color w:val="000000"/>
      <w:sz w:val="24"/>
      <w:szCs w:val="24"/>
    </w:rPr>
  </w:style>
  <w:style w:type="character" w:customStyle="1" w:styleId="Titolo1Carattere">
    <w:name w:val="Titolo 1 Carattere"/>
    <w:basedOn w:val="Carpredefinitoparagrafo"/>
    <w:link w:val="Titolo1"/>
    <w:uiPriority w:val="9"/>
    <w:rsid w:val="00E65F00"/>
    <w:rPr>
      <w:rFonts w:asciiTheme="majorHAnsi" w:eastAsiaTheme="majorEastAsia" w:hAnsiTheme="majorHAnsi" w:cstheme="majorBidi"/>
      <w:color w:val="2E74B5" w:themeColor="accent1" w:themeShade="BF"/>
      <w:sz w:val="32"/>
      <w:szCs w:val="32"/>
      <w:lang w:eastAsia="zh-CN"/>
    </w:rPr>
  </w:style>
  <w:style w:type="table" w:styleId="Grigliatabella">
    <w:name w:val="Table Grid"/>
    <w:basedOn w:val="Tabellanormale"/>
    <w:uiPriority w:val="39"/>
    <w:rsid w:val="00E6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5335">
      <w:bodyDiv w:val="1"/>
      <w:marLeft w:val="0"/>
      <w:marRight w:val="0"/>
      <w:marTop w:val="0"/>
      <w:marBottom w:val="0"/>
      <w:divBdr>
        <w:top w:val="none" w:sz="0" w:space="0" w:color="auto"/>
        <w:left w:val="none" w:sz="0" w:space="0" w:color="auto"/>
        <w:bottom w:val="none" w:sz="0" w:space="0" w:color="auto"/>
        <w:right w:val="none" w:sz="0" w:space="0" w:color="auto"/>
      </w:divBdr>
    </w:div>
    <w:div w:id="14374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8</Pages>
  <Words>2454</Words>
  <Characters>13990</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22</cp:revision>
  <dcterms:created xsi:type="dcterms:W3CDTF">2018-05-26T10:53:00Z</dcterms:created>
  <dcterms:modified xsi:type="dcterms:W3CDTF">2018-08-29T12:51:00Z</dcterms:modified>
</cp:coreProperties>
</file>