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xmlns="">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4B2A46C7" w14:textId="2D876FF3" w:rsidR="00477C3D" w:rsidRPr="00D8071A" w:rsidRDefault="00477C3D" w:rsidP="00477C3D">
      <w:pPr>
        <w:autoSpaceDE w:val="0"/>
        <w:adjustRightInd w:val="0"/>
        <w:jc w:val="both"/>
        <w:rPr>
          <w:rFonts w:ascii="Calibri Light" w:hAnsi="Calibri Light" w:cs="Arial"/>
          <w:b/>
          <w:bCs/>
          <w:sz w:val="22"/>
          <w:szCs w:val="22"/>
        </w:rPr>
      </w:pPr>
      <w:bookmarkStart w:id="2" w:name="OLE_LINK21"/>
      <w:bookmarkStart w:id="3" w:name="OLE_LINK2"/>
      <w:bookmarkStart w:id="4" w:name="_Hlk68078091"/>
      <w:bookmarkEnd w:id="0"/>
      <w:bookmarkEnd w:id="1"/>
      <w:r w:rsidRPr="00D8071A">
        <w:rPr>
          <w:rFonts w:ascii="Calibri Light" w:eastAsia="TimesNewRomanPS-BoldMT" w:hAnsi="Calibri Light" w:cs="TimesNewRomanPSMT"/>
          <w:b/>
          <w:sz w:val="24"/>
          <w:szCs w:val="24"/>
          <w:lang w:eastAsia="it-IT"/>
        </w:rPr>
        <w:t xml:space="preserve">PROCEDURA </w:t>
      </w:r>
      <w:r>
        <w:rPr>
          <w:rFonts w:ascii="Calibri Light" w:eastAsia="TimesNewRomanPS-BoldMT" w:hAnsi="Calibri Light" w:cs="TimesNewRomanPSMT"/>
          <w:b/>
          <w:sz w:val="24"/>
          <w:szCs w:val="24"/>
          <w:lang w:eastAsia="it-IT"/>
        </w:rPr>
        <w:t xml:space="preserve">NEGOZIATA AI SENSI DELLA’ART. 1, COMMA 2 LETT. B </w:t>
      </w:r>
      <w:r>
        <w:rPr>
          <w:rFonts w:ascii="Calibri Light" w:eastAsia="TimesNewRomanPS-BoldMT" w:hAnsi="Calibri Light" w:cs="TimesNewRomanPSMT"/>
          <w:b/>
          <w:sz w:val="24"/>
          <w:szCs w:val="24"/>
          <w:lang w:eastAsia="it-IT"/>
        </w:rPr>
        <w:t>L</w:t>
      </w:r>
      <w:r>
        <w:rPr>
          <w:rFonts w:ascii="Calibri Light" w:eastAsia="TimesNewRomanPS-BoldMT" w:hAnsi="Calibri Light" w:cs="TimesNewRomanPSMT"/>
          <w:b/>
          <w:sz w:val="24"/>
          <w:szCs w:val="24"/>
          <w:lang w:eastAsia="it-IT"/>
        </w:rPr>
        <w:t>. 120/2020 COME MOD</w:t>
      </w:r>
      <w:r>
        <w:rPr>
          <w:rFonts w:ascii="Calibri Light" w:eastAsia="TimesNewRomanPS-BoldMT" w:hAnsi="Calibri Light" w:cs="TimesNewRomanPSMT"/>
          <w:b/>
          <w:sz w:val="24"/>
          <w:szCs w:val="24"/>
          <w:lang w:eastAsia="it-IT"/>
        </w:rPr>
        <w:t>I</w:t>
      </w:r>
      <w:r>
        <w:rPr>
          <w:rFonts w:ascii="Calibri Light" w:eastAsia="TimesNewRomanPS-BoldMT" w:hAnsi="Calibri Light" w:cs="TimesNewRomanPSMT"/>
          <w:b/>
          <w:sz w:val="24"/>
          <w:szCs w:val="24"/>
          <w:lang w:eastAsia="it-IT"/>
        </w:rPr>
        <w:t xml:space="preserve">FICATO D.L. </w:t>
      </w:r>
      <w:r>
        <w:rPr>
          <w:rFonts w:ascii="Calibri Light" w:eastAsia="TimesNewRomanPS-BoldMT" w:hAnsi="Calibri Light" w:cs="TimesNewRomanPSMT"/>
          <w:b/>
          <w:sz w:val="24"/>
          <w:szCs w:val="24"/>
          <w:lang w:eastAsia="it-IT"/>
        </w:rPr>
        <w:t>77</w:t>
      </w:r>
      <w:r>
        <w:rPr>
          <w:rFonts w:ascii="Calibri Light" w:eastAsia="TimesNewRomanPS-BoldMT" w:hAnsi="Calibri Light" w:cs="TimesNewRomanPSMT"/>
          <w:b/>
          <w:sz w:val="24"/>
          <w:szCs w:val="24"/>
          <w:lang w:eastAsia="it-IT"/>
        </w:rPr>
        <w:t xml:space="preserve">/2021 TRAMITE R.D.O. APERTA </w:t>
      </w:r>
      <w:r w:rsidRPr="00D8071A">
        <w:rPr>
          <w:rFonts w:ascii="Calibri Light" w:eastAsia="TimesNewRomanPS-BoldMT" w:hAnsi="Calibri Light" w:cs="TimesNewRomanPS-BoldMT"/>
          <w:b/>
          <w:bCs/>
          <w:sz w:val="24"/>
          <w:szCs w:val="24"/>
          <w:lang w:eastAsia="it-IT"/>
        </w:rPr>
        <w:t xml:space="preserve">SU PIATTAFORMA SATER </w:t>
      </w:r>
      <w:r w:rsidRPr="00D8071A">
        <w:rPr>
          <w:rFonts w:ascii="Calibri Light" w:eastAsia="TimesNewRomanPS-BoldMT" w:hAnsi="Calibri Light" w:cs="TimesNewRomanPSMT"/>
          <w:b/>
          <w:sz w:val="24"/>
          <w:szCs w:val="24"/>
          <w:lang w:eastAsia="it-IT"/>
        </w:rPr>
        <w:t xml:space="preserve">PER L’AFFIDAMENTO </w:t>
      </w:r>
      <w:r>
        <w:rPr>
          <w:rFonts w:ascii="Calibri Light" w:eastAsia="TimesNewRomanPS-BoldMT" w:hAnsi="Calibri Light" w:cs="TimesNewRomanPSMT"/>
          <w:b/>
          <w:sz w:val="24"/>
          <w:szCs w:val="24"/>
          <w:lang w:eastAsia="it-IT"/>
        </w:rPr>
        <w:t xml:space="preserve">DEL SERVIZIO DI ELABORAZIONE DELLE BUSTE PAGA E DEI CONSEGUENTI ADEMPIMENTI PREVIDENZIALI, FISCALI E CONTABILI PER DIPENDENTI E ASSIMILATI DELL’UNIONE COLLINE MATILDICHE E COMUNI ADERENTI PER IL PERIODO 01.01.2022 – 31.12.2024 CON </w:t>
      </w:r>
      <w:r w:rsidRPr="00B203F2">
        <w:rPr>
          <w:rFonts w:ascii="Calibri Light" w:eastAsia="TimesNewRomanPS-BoldMT" w:hAnsi="Calibri Light" w:cs="TimesNewRomanPSMT"/>
          <w:b/>
          <w:sz w:val="24"/>
          <w:szCs w:val="24"/>
          <w:lang w:eastAsia="it-IT"/>
        </w:rPr>
        <w:t>POSSIBILITA’ DI RINNOVO PER ULTERIORI DUE ANNI</w:t>
      </w:r>
      <w:r>
        <w:rPr>
          <w:rFonts w:ascii="Calibri Light" w:eastAsia="TimesNewRomanPS-BoldMT" w:hAnsi="Calibri Light" w:cs="TimesNewRomanPSMT"/>
          <w:b/>
          <w:sz w:val="24"/>
          <w:szCs w:val="24"/>
          <w:lang w:eastAsia="it-IT"/>
        </w:rPr>
        <w:t>.</w:t>
      </w:r>
    </w:p>
    <w:bookmarkEnd w:id="4"/>
    <w:p w14:paraId="2FEA1AE2" w14:textId="77777777" w:rsidR="00477C3D" w:rsidRDefault="00477C3D" w:rsidP="00477C3D">
      <w:pPr>
        <w:autoSpaceDE w:val="0"/>
        <w:adjustRightInd w:val="0"/>
        <w:rPr>
          <w:rFonts w:ascii="Calibri Light" w:hAnsi="Calibri Light" w:cs="TimesNewRomanPSMT"/>
          <w:sz w:val="22"/>
          <w:szCs w:val="22"/>
          <w:lang w:eastAsia="it-IT"/>
        </w:rPr>
      </w:pPr>
    </w:p>
    <w:p w14:paraId="781CB056" w14:textId="77777777" w:rsidR="00477C3D" w:rsidRDefault="00477C3D" w:rsidP="00733775">
      <w:pPr>
        <w:rPr>
          <w:b/>
          <w:bCs/>
          <w:color w:val="000000"/>
          <w:sz w:val="22"/>
          <w:szCs w:val="22"/>
          <w:lang w:eastAsia="it-IT"/>
        </w:rPr>
      </w:pPr>
    </w:p>
    <w:p w14:paraId="7FA5C6EE" w14:textId="77777777" w:rsidR="00477C3D" w:rsidRPr="003B2499" w:rsidRDefault="00477C3D" w:rsidP="00477C3D">
      <w:pPr>
        <w:autoSpaceDE w:val="0"/>
        <w:adjustRightInd w:val="0"/>
        <w:rPr>
          <w:rFonts w:ascii="Calibri Light" w:hAnsi="Calibri Light" w:cs="TimesNewRomanPSMT"/>
          <w:sz w:val="22"/>
          <w:szCs w:val="22"/>
          <w:lang w:eastAsia="it-IT"/>
        </w:rPr>
      </w:pPr>
      <w:bookmarkStart w:id="5" w:name="_Hlk76722742"/>
      <w:r w:rsidRPr="003B2499">
        <w:rPr>
          <w:rFonts w:ascii="Calibri Light" w:hAnsi="Calibri Light" w:cs="TimesNewRomanPSMT"/>
          <w:sz w:val="22"/>
          <w:szCs w:val="22"/>
          <w:lang w:eastAsia="it-IT"/>
        </w:rPr>
        <w:t>CIG: 8827863700</w:t>
      </w:r>
    </w:p>
    <w:p w14:paraId="15CD83B0" w14:textId="77777777" w:rsidR="00477C3D" w:rsidRPr="00D8071A" w:rsidRDefault="00477C3D" w:rsidP="00477C3D">
      <w:pPr>
        <w:autoSpaceDE w:val="0"/>
        <w:adjustRightInd w:val="0"/>
        <w:rPr>
          <w:rFonts w:ascii="Calibri Light" w:hAnsi="Calibri Light" w:cs="Arial"/>
          <w:b/>
          <w:bCs/>
          <w:sz w:val="22"/>
          <w:szCs w:val="22"/>
        </w:rPr>
      </w:pPr>
      <w:bookmarkStart w:id="6" w:name="_Hlk76719969"/>
      <w:r w:rsidRPr="003B2499">
        <w:rPr>
          <w:rFonts w:ascii="Calibri Light" w:hAnsi="Calibri Light" w:cs="TimesNewRomanPSMT"/>
          <w:sz w:val="22"/>
          <w:szCs w:val="22"/>
          <w:lang w:eastAsia="it-IT"/>
        </w:rPr>
        <w:t>CPV 79414000-9 “Servizi di consulenza di gestione delle risorse umane</w:t>
      </w:r>
    </w:p>
    <w:bookmarkEnd w:id="6"/>
    <w:bookmarkEnd w:id="5"/>
    <w:p w14:paraId="0841A7B8" w14:textId="77777777" w:rsidR="00477C3D" w:rsidRDefault="00477C3D" w:rsidP="00477C3D">
      <w:pPr>
        <w:autoSpaceDE w:val="0"/>
        <w:adjustRightInd w:val="0"/>
        <w:jc w:val="both"/>
        <w:rPr>
          <w:rFonts w:ascii="Calibri Light" w:eastAsia="TimesNewRomanPS-BoldMT" w:hAnsi="Calibri Light" w:cs="TimesNewRomanPS-BoldMT"/>
          <w:b/>
          <w:bCs/>
          <w:color w:val="000000"/>
          <w:sz w:val="24"/>
          <w:szCs w:val="24"/>
          <w:lang w:eastAsia="it-IT"/>
        </w:rPr>
      </w:pPr>
    </w:p>
    <w:p w14:paraId="634E7697" w14:textId="77777777" w:rsidR="00096F49" w:rsidRPr="000C5668" w:rsidRDefault="00096F49" w:rsidP="00733775">
      <w:pPr>
        <w:rPr>
          <w:rFonts w:ascii="Garamond" w:eastAsia="Arial Unicode MS" w:hAnsi="Garamond" w:cs="Tahoma"/>
          <w:sz w:val="24"/>
          <w:szCs w:val="24"/>
        </w:rPr>
      </w:pPr>
    </w:p>
    <w:bookmarkEnd w:id="2"/>
    <w:bookmarkEnd w:id="3"/>
    <w:p w14:paraId="7147EBC8" w14:textId="77777777"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Prov.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7"/>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lastRenderedPageBreak/>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xmlns="">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xmlns="">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xmlns="">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lastRenderedPageBreak/>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xmlns="">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xmlns="">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w:t>
      </w:r>
      <w:proofErr w:type="gramStart"/>
      <w:r w:rsidRPr="000C5668">
        <w:rPr>
          <w:rFonts w:ascii="Garamond" w:eastAsia="Tahoma" w:hAnsi="Garamond" w:cs="Tahoma"/>
          <w:szCs w:val="24"/>
        </w:rPr>
        <w:t xml:space="preserve">condannate:  </w:t>
      </w:r>
      <w:r w:rsidR="00987A48" w:rsidRPr="000C5668">
        <w:rPr>
          <w:rFonts w:ascii="Garamond" w:eastAsia="Tahoma" w:hAnsi="Garamond" w:cs="Tahoma"/>
          <w:szCs w:val="24"/>
        </w:rPr>
        <w:t>_</w:t>
      </w:r>
      <w:proofErr w:type="gramEnd"/>
      <w:r w:rsidR="00987A48" w:rsidRPr="000C5668">
        <w:rPr>
          <w:rFonts w:ascii="Garamond" w:eastAsia="Tahoma" w:hAnsi="Garamond" w:cs="Tahoma"/>
          <w:szCs w:val="24"/>
        </w:rPr>
        <w:t>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bookmarkStart w:id="8" w:name="_Hlk72481859"/>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58EF6C0D" w:rsidR="00466A8E" w:rsidRPr="000C5668" w:rsidRDefault="002B4F54"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lastRenderedPageBreak/>
        <w:t xml:space="preserve">Comma 5 </w:t>
      </w:r>
      <w:r w:rsidR="00466A8E"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66FF5150"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00466A8E"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264823F"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00466A8E"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00466A8E"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00466A8E"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00466A8E"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00466A8E"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53225FBC"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proofErr w:type="gramStart"/>
      <w:r>
        <w:rPr>
          <w:rFonts w:ascii="Garamond" w:eastAsia="Tahoma" w:hAnsi="Garamond" w:cs="Tahoma"/>
          <w:kern w:val="3"/>
          <w:sz w:val="24"/>
          <w:szCs w:val="24"/>
        </w:rPr>
        <w:t xml:space="preserve">5  </w:t>
      </w:r>
      <w:r w:rsidR="00466A8E" w:rsidRPr="000C5668">
        <w:rPr>
          <w:rFonts w:ascii="Garamond" w:eastAsia="Tahoma" w:hAnsi="Garamond" w:cs="Tahoma"/>
          <w:kern w:val="3"/>
          <w:sz w:val="24"/>
          <w:szCs w:val="24"/>
        </w:rPr>
        <w:t>Lett.</w:t>
      </w:r>
      <w:proofErr w:type="gramEnd"/>
      <w:r w:rsidR="00466A8E" w:rsidRPr="000C5668">
        <w:rPr>
          <w:rFonts w:ascii="Garamond" w:eastAsia="Tahoma" w:hAnsi="Garamond" w:cs="Tahoma"/>
          <w:kern w:val="3"/>
          <w:sz w:val="24"/>
          <w:szCs w:val="24"/>
        </w:rPr>
        <w:t xml:space="preserve"> c-ter) ha dimostrato significative </w:t>
      </w:r>
      <w:r w:rsidR="008B1AA0" w:rsidRPr="000C5668">
        <w:rPr>
          <w:rFonts w:ascii="Garamond" w:eastAsia="Tahoma" w:hAnsi="Garamond" w:cs="Tahoma"/>
          <w:kern w:val="3"/>
          <w:sz w:val="24"/>
          <w:szCs w:val="24"/>
        </w:rPr>
        <w:t>o persist</w:t>
      </w:r>
      <w:r w:rsidR="00466A8E"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00466A8E"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00466A8E"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1A836CC8" w:rsidR="00F63530" w:rsidRPr="000C5668" w:rsidRDefault="002B4F54"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F63530"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3C81A0F4" w:rsidR="004A5790" w:rsidRDefault="002B4F54"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kern w:val="3"/>
          <w:sz w:val="24"/>
          <w:szCs w:val="24"/>
        </w:rPr>
        <w:t xml:space="preserve">Comma 5 </w:t>
      </w:r>
      <w:r w:rsidR="004A5790" w:rsidRPr="00881571">
        <w:rPr>
          <w:rFonts w:ascii="Times New Roman" w:eastAsia="Tahoma" w:hAnsi="Times New Roman" w:cs="Calibri Light"/>
          <w:sz w:val="24"/>
          <w:szCs w:val="24"/>
        </w:rPr>
        <w:t>f</w:t>
      </w:r>
      <w:r w:rsidR="004A5790"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004A5790"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659BAF07" w:rsidR="00A811CD" w:rsidRPr="000C5668" w:rsidRDefault="002B4F54" w:rsidP="00987A48">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008B1AA0"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4AB25422" w:rsidR="008B1AA0" w:rsidRPr="000C5668" w:rsidRDefault="002B4F54" w:rsidP="003F6C76">
      <w:pPr>
        <w:pStyle w:val="Standard"/>
        <w:widowControl w:val="0"/>
        <w:tabs>
          <w:tab w:val="left" w:pos="-14476"/>
          <w:tab w:val="left" w:pos="-13484"/>
        </w:tabs>
        <w:spacing w:line="276" w:lineRule="auto"/>
        <w:ind w:left="1304"/>
        <w:jc w:val="both"/>
        <w:rPr>
          <w:rFonts w:ascii="Garamond" w:eastAsia="Tahoma" w:hAnsi="Garamond" w:cs="Tahoma"/>
          <w:szCs w:val="24"/>
        </w:rPr>
      </w:pPr>
      <w:r>
        <w:rPr>
          <w:rFonts w:ascii="Garamond" w:eastAsia="Tahoma" w:hAnsi="Garamond" w:cs="Tahoma"/>
          <w:szCs w:val="24"/>
        </w:rPr>
        <w:t>Comma 5</w:t>
      </w:r>
      <w:r w:rsidR="002F3520"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xmlns="">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Pr>
          <w:rFonts w:ascii="Garamond" w:eastAsia="Tahoma" w:hAnsi="Garamond" w:cs="Tahoma"/>
          <w:szCs w:val="24"/>
        </w:rPr>
        <w:t xml:space="preserve"> </w:t>
      </w:r>
      <w:r w:rsidR="008B1AA0" w:rsidRPr="000C5668">
        <w:rPr>
          <w:rFonts w:ascii="Garamond" w:eastAsia="Tahoma" w:hAnsi="Garamond" w:cs="Tahoma"/>
          <w:szCs w:val="24"/>
        </w:rPr>
        <w:t xml:space="preserve">Lett. f-ter) </w:t>
      </w:r>
      <w:r w:rsidR="002F3520"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002F3520" w:rsidRPr="000C5668">
        <w:rPr>
          <w:rFonts w:ascii="Garamond" w:eastAsia="Tahoma" w:hAnsi="Garamond" w:cs="Tahoma"/>
          <w:szCs w:val="24"/>
        </w:rPr>
        <w:t xml:space="preserve">? </w:t>
      </w:r>
    </w:p>
    <w:bookmarkEnd w:id="8"/>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xmlns="">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 xml:space="preserve">«Indicazione dei mezzi di prova adeguati e delle carenze nell’esecuzione di un precedente contratto di appalto che possano considerarsi significative per la dimostrazione </w:t>
      </w:r>
      <w:r w:rsidRPr="000C5668">
        <w:rPr>
          <w:rStyle w:val="Enfasigrassetto"/>
          <w:rFonts w:ascii="Garamond" w:hAnsi="Garamond" w:cstheme="minorHAnsi"/>
          <w:sz w:val="24"/>
          <w:szCs w:val="24"/>
          <w:shd w:val="clear" w:color="auto" w:fill="F9F9F9"/>
        </w:rPr>
        <w:lastRenderedPageBreak/>
        <w:t>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27131096" w14:textId="67F1DF1E"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Con riferimento ai requisiti specifici richiesti per l’esecuzione dell’appalto in oggetto (barrare le caselle che interessano e completare laddove richiesto):</w:t>
      </w:r>
    </w:p>
    <w:p w14:paraId="2170016B"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60F31ED1" w14:textId="154499FD"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1) Di possedere uno dei requisiti soggettivi sotto elencati: (barrare le caselle che interessano e completare laddove richiesto):</w:t>
      </w:r>
    </w:p>
    <w:p w14:paraId="69F21390"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06E55AC6" w14:textId="77777777"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 xml:space="preserve">O   Essere professionista consulente del lavoro di cui alla legge n.12/1979 in forma singola ovvero in forma associata secondo le modalità di cui all’art. 10 della legge n.183/2011; </w:t>
      </w:r>
    </w:p>
    <w:p w14:paraId="27D82124"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297C394C" w14:textId="126AE00C"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 xml:space="preserve">O Essere professionista iscritto all’albo/ordine/collegio degli avvocati ovvero dei dottori commercialisti ovvero dei ragionieri e periti commerciali, ai quali è estesa la riserva di attività in favore dei consulenti del lavoro ai sensi dell'art.1 della legge n.12/1979 in forma singola ovvero in forma associata secondo le modalità di cui all’art. 10 della legge n.183/2011; </w:t>
      </w:r>
    </w:p>
    <w:p w14:paraId="1DAEDC92"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58509D36" w14:textId="3BE2C6AC"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O di essere una "Società tra professionisti" ai sensi dell'art.10 della legge n.183/2011 costituita fra soggetti di cui ai precedenti punti</w:t>
      </w:r>
    </w:p>
    <w:p w14:paraId="27AC0818"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001EDBD8"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3AE48CCA" w14:textId="3D3B42C6" w:rsidR="00096F49" w:rsidRPr="00096F49" w:rsidRDefault="00A511E0" w:rsidP="00096F49">
      <w:pPr>
        <w:pStyle w:val="Standard"/>
        <w:tabs>
          <w:tab w:val="left" w:pos="-31226"/>
        </w:tabs>
        <w:ind w:left="454"/>
        <w:jc w:val="both"/>
        <w:rPr>
          <w:rFonts w:ascii="Garamond" w:eastAsia="Tahoma" w:hAnsi="Garamond" w:cs="Tahoma"/>
          <w:bCs/>
          <w:szCs w:val="24"/>
        </w:rPr>
      </w:pPr>
      <w:r>
        <w:rPr>
          <w:rFonts w:ascii="Garamond" w:eastAsia="Tahoma" w:hAnsi="Garamond" w:cs="Tahoma"/>
          <w:bCs/>
          <w:szCs w:val="24"/>
        </w:rPr>
        <w:t>2</w:t>
      </w:r>
      <w:r w:rsidR="00096F49" w:rsidRPr="00096F49">
        <w:rPr>
          <w:rFonts w:ascii="Garamond" w:eastAsia="Tahoma" w:hAnsi="Garamond" w:cs="Tahoma"/>
          <w:bCs/>
          <w:szCs w:val="24"/>
        </w:rPr>
        <w:t xml:space="preserve">) di avere svolto nel biennio 2019/2020 servizi analoghi per un periodo continuativo non inferiore a n.12 mensilità continuative, a favore dei seguenti enti locali e/o strumentali ex art. 114 TUEL, con una media mensile complessiva pari o superiore a </w:t>
      </w:r>
      <w:r w:rsidR="00477C3D">
        <w:rPr>
          <w:rFonts w:ascii="Garamond" w:eastAsia="Tahoma" w:hAnsi="Garamond" w:cs="Tahoma"/>
          <w:bCs/>
          <w:szCs w:val="24"/>
        </w:rPr>
        <w:t>3</w:t>
      </w:r>
      <w:r w:rsidR="00096F49" w:rsidRPr="00096F49">
        <w:rPr>
          <w:rFonts w:ascii="Garamond" w:eastAsia="Tahoma" w:hAnsi="Garamond" w:cs="Tahoma"/>
          <w:bCs/>
          <w:szCs w:val="24"/>
        </w:rPr>
        <w:t>00 cedolini elaborati. Per servizi analoghi si intendono servizi di consulenza del lavoro, consulenza giuridico-contabile e servizi di elaborazione paghe, servizi correlati e conseguenti adempimenti di legge:</w:t>
      </w:r>
    </w:p>
    <w:p w14:paraId="2E948B6F" w14:textId="77777777" w:rsidR="00096F49" w:rsidRDefault="00096F49" w:rsidP="00096F49">
      <w:pPr>
        <w:pStyle w:val="Standard"/>
        <w:tabs>
          <w:tab w:val="left" w:pos="-31226"/>
        </w:tabs>
        <w:ind w:left="454"/>
        <w:jc w:val="both"/>
        <w:rPr>
          <w:rFonts w:ascii="Garamond" w:eastAsia="Tahoma" w:hAnsi="Garamond" w:cs="Tahoma"/>
          <w:b/>
          <w:szCs w:val="24"/>
        </w:rPr>
      </w:pPr>
    </w:p>
    <w:tbl>
      <w:tblPr>
        <w:tblW w:w="0" w:type="auto"/>
        <w:tblInd w:w="702" w:type="dxa"/>
        <w:tblLayout w:type="fixed"/>
        <w:tblLook w:val="0000" w:firstRow="0" w:lastRow="0" w:firstColumn="0" w:lastColumn="0" w:noHBand="0" w:noVBand="0"/>
      </w:tblPr>
      <w:tblGrid>
        <w:gridCol w:w="2065"/>
        <w:gridCol w:w="2977"/>
        <w:gridCol w:w="1316"/>
        <w:gridCol w:w="1276"/>
        <w:gridCol w:w="1298"/>
      </w:tblGrid>
      <w:tr w:rsidR="00096F49" w:rsidRPr="003207AA" w14:paraId="1BE444A6" w14:textId="77777777" w:rsidTr="00096F49">
        <w:tc>
          <w:tcPr>
            <w:tcW w:w="2065" w:type="dxa"/>
            <w:tcBorders>
              <w:top w:val="single" w:sz="4" w:space="0" w:color="000000"/>
              <w:left w:val="single" w:sz="4" w:space="0" w:color="000000"/>
              <w:bottom w:val="single" w:sz="4" w:space="0" w:color="000000"/>
            </w:tcBorders>
            <w:shd w:val="clear" w:color="auto" w:fill="auto"/>
            <w:vAlign w:val="center"/>
          </w:tcPr>
          <w:p w14:paraId="13B5F28D" w14:textId="77777777" w:rsidR="00096F49" w:rsidRPr="003207AA" w:rsidRDefault="00096F49" w:rsidP="00EC13AD">
            <w:pPr>
              <w:widowControl/>
              <w:spacing w:line="360" w:lineRule="auto"/>
              <w:jc w:val="both"/>
              <w:rPr>
                <w:rFonts w:ascii="Garamond" w:hAnsi="Garamond" w:cs="Tahoma"/>
                <w:sz w:val="24"/>
                <w:szCs w:val="24"/>
              </w:rPr>
            </w:pPr>
            <w:bookmarkStart w:id="9" w:name="_Hlk70069587"/>
            <w:r w:rsidRPr="003207AA">
              <w:rPr>
                <w:rFonts w:ascii="Garamond" w:hAnsi="Garamond" w:cs="Tahoma"/>
                <w:sz w:val="24"/>
                <w:szCs w:val="24"/>
              </w:rPr>
              <w:t>Committente</w:t>
            </w:r>
          </w:p>
        </w:tc>
        <w:tc>
          <w:tcPr>
            <w:tcW w:w="2977" w:type="dxa"/>
            <w:tcBorders>
              <w:top w:val="single" w:sz="4" w:space="0" w:color="000000"/>
              <w:left w:val="single" w:sz="4" w:space="0" w:color="000000"/>
              <w:bottom w:val="single" w:sz="4" w:space="0" w:color="000000"/>
            </w:tcBorders>
            <w:shd w:val="clear" w:color="auto" w:fill="auto"/>
            <w:vAlign w:val="center"/>
          </w:tcPr>
          <w:p w14:paraId="4626BACD" w14:textId="77777777" w:rsidR="00096F49" w:rsidRPr="003207AA" w:rsidRDefault="00096F49" w:rsidP="00EC13AD">
            <w:pPr>
              <w:widowControl/>
              <w:spacing w:line="360" w:lineRule="auto"/>
              <w:jc w:val="both"/>
              <w:rPr>
                <w:rFonts w:ascii="Garamond" w:hAnsi="Garamond" w:cs="Tahoma"/>
                <w:sz w:val="24"/>
                <w:szCs w:val="24"/>
              </w:rPr>
            </w:pPr>
            <w:r w:rsidRPr="003207AA">
              <w:rPr>
                <w:rFonts w:ascii="Garamond" w:hAnsi="Garamond" w:cs="Tahoma"/>
                <w:sz w:val="24"/>
                <w:szCs w:val="24"/>
              </w:rPr>
              <w:t>Oggetto del servizio</w:t>
            </w:r>
          </w:p>
        </w:tc>
        <w:tc>
          <w:tcPr>
            <w:tcW w:w="1316" w:type="dxa"/>
            <w:tcBorders>
              <w:top w:val="single" w:sz="4" w:space="0" w:color="000000"/>
              <w:left w:val="single" w:sz="4" w:space="0" w:color="000000"/>
              <w:bottom w:val="single" w:sz="4" w:space="0" w:color="000000"/>
            </w:tcBorders>
            <w:shd w:val="clear" w:color="auto" w:fill="auto"/>
            <w:vAlign w:val="center"/>
          </w:tcPr>
          <w:p w14:paraId="56D9316C" w14:textId="77777777" w:rsidR="00096F49" w:rsidRPr="003207AA" w:rsidRDefault="00096F49" w:rsidP="00EC13AD">
            <w:pPr>
              <w:widowControl/>
              <w:spacing w:line="360" w:lineRule="auto"/>
              <w:jc w:val="both"/>
              <w:rPr>
                <w:rFonts w:ascii="Garamond" w:hAnsi="Garamond" w:cs="Tahoma"/>
                <w:sz w:val="24"/>
                <w:szCs w:val="24"/>
              </w:rPr>
            </w:pPr>
            <w:r w:rsidRPr="003207AA">
              <w:rPr>
                <w:rFonts w:ascii="Garamond" w:hAnsi="Garamond" w:cs="Tahoma"/>
                <w:sz w:val="24"/>
                <w:szCs w:val="24"/>
              </w:rPr>
              <w:t>N° cedolini</w:t>
            </w:r>
          </w:p>
        </w:tc>
        <w:tc>
          <w:tcPr>
            <w:tcW w:w="1276" w:type="dxa"/>
            <w:tcBorders>
              <w:top w:val="single" w:sz="4" w:space="0" w:color="000000"/>
              <w:left w:val="single" w:sz="4" w:space="0" w:color="000000"/>
              <w:bottom w:val="single" w:sz="4" w:space="0" w:color="000000"/>
            </w:tcBorders>
            <w:shd w:val="clear" w:color="auto" w:fill="auto"/>
            <w:vAlign w:val="center"/>
          </w:tcPr>
          <w:p w14:paraId="6549EC1A" w14:textId="77777777" w:rsidR="00096F49" w:rsidRPr="003207AA" w:rsidRDefault="00096F49" w:rsidP="00EC13AD">
            <w:pPr>
              <w:widowControl/>
              <w:spacing w:line="360" w:lineRule="auto"/>
              <w:jc w:val="both"/>
              <w:rPr>
                <w:rFonts w:ascii="Garamond" w:hAnsi="Garamond" w:cs="Tahoma"/>
                <w:sz w:val="24"/>
                <w:szCs w:val="24"/>
              </w:rPr>
            </w:pPr>
            <w:r w:rsidRPr="003207AA">
              <w:rPr>
                <w:rFonts w:ascii="Garamond" w:hAnsi="Garamond" w:cs="Tahoma"/>
                <w:sz w:val="24"/>
                <w:szCs w:val="24"/>
              </w:rPr>
              <w:t>Data inizio gg/mm/aa</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828D" w14:textId="77777777" w:rsidR="00096F49" w:rsidRPr="003207AA" w:rsidRDefault="00096F49" w:rsidP="00EC13AD">
            <w:pPr>
              <w:widowControl/>
              <w:spacing w:line="360" w:lineRule="auto"/>
              <w:jc w:val="both"/>
              <w:rPr>
                <w:rFonts w:ascii="Garamond" w:hAnsi="Garamond" w:cs="Tahoma"/>
                <w:sz w:val="24"/>
                <w:szCs w:val="24"/>
              </w:rPr>
            </w:pPr>
            <w:r w:rsidRPr="003207AA">
              <w:rPr>
                <w:rFonts w:ascii="Garamond" w:hAnsi="Garamond" w:cs="Tahoma"/>
                <w:sz w:val="24"/>
                <w:szCs w:val="24"/>
              </w:rPr>
              <w:t>Data fine gg/mm/aa</w:t>
            </w:r>
          </w:p>
        </w:tc>
      </w:tr>
      <w:tr w:rsidR="00096F49" w:rsidRPr="003207AA" w14:paraId="226556F0" w14:textId="77777777" w:rsidTr="00096F49">
        <w:trPr>
          <w:trHeight w:val="567"/>
        </w:trPr>
        <w:tc>
          <w:tcPr>
            <w:tcW w:w="2065" w:type="dxa"/>
            <w:tcBorders>
              <w:top w:val="single" w:sz="4" w:space="0" w:color="000000"/>
              <w:left w:val="single" w:sz="4" w:space="0" w:color="000000"/>
              <w:bottom w:val="single" w:sz="4" w:space="0" w:color="000000"/>
            </w:tcBorders>
            <w:shd w:val="clear" w:color="auto" w:fill="auto"/>
          </w:tcPr>
          <w:p w14:paraId="1F2A5D96" w14:textId="77777777" w:rsidR="00096F49" w:rsidRPr="003207AA" w:rsidRDefault="00096F49" w:rsidP="00EC13AD">
            <w:pPr>
              <w:widowControl/>
              <w:spacing w:line="360" w:lineRule="auto"/>
              <w:jc w:val="both"/>
              <w:rPr>
                <w:rFonts w:ascii="Garamond" w:hAnsi="Garamond" w:cs="Tahoma"/>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7550FB2" w14:textId="77777777" w:rsidR="00096F49" w:rsidRPr="003207AA" w:rsidRDefault="00096F49" w:rsidP="00EC13AD">
            <w:pPr>
              <w:widowControl/>
              <w:spacing w:line="360" w:lineRule="auto"/>
              <w:jc w:val="both"/>
              <w:rPr>
                <w:rFonts w:ascii="Garamond" w:hAnsi="Garamond" w:cs="Tahoma"/>
                <w:sz w:val="24"/>
                <w:szCs w:val="24"/>
              </w:rPr>
            </w:pPr>
          </w:p>
        </w:tc>
        <w:tc>
          <w:tcPr>
            <w:tcW w:w="1316" w:type="dxa"/>
            <w:tcBorders>
              <w:top w:val="single" w:sz="4" w:space="0" w:color="000000"/>
              <w:left w:val="single" w:sz="4" w:space="0" w:color="000000"/>
              <w:bottom w:val="single" w:sz="4" w:space="0" w:color="000000"/>
            </w:tcBorders>
            <w:shd w:val="clear" w:color="auto" w:fill="auto"/>
          </w:tcPr>
          <w:p w14:paraId="5547EF16" w14:textId="77777777" w:rsidR="00096F49" w:rsidRPr="003207AA" w:rsidRDefault="00096F49" w:rsidP="00EC13AD">
            <w:pPr>
              <w:widowControl/>
              <w:spacing w:line="360" w:lineRule="auto"/>
              <w:jc w:val="both"/>
              <w:rPr>
                <w:rFonts w:ascii="Garamond" w:hAnsi="Garamond" w:cs="Tahoma"/>
                <w:sz w:val="24"/>
                <w:szCs w:val="24"/>
              </w:rPr>
            </w:pPr>
          </w:p>
        </w:tc>
        <w:tc>
          <w:tcPr>
            <w:tcW w:w="1276" w:type="dxa"/>
            <w:tcBorders>
              <w:top w:val="single" w:sz="4" w:space="0" w:color="000000"/>
              <w:left w:val="single" w:sz="4" w:space="0" w:color="000000"/>
              <w:bottom w:val="single" w:sz="4" w:space="0" w:color="000000"/>
            </w:tcBorders>
            <w:shd w:val="clear" w:color="auto" w:fill="auto"/>
          </w:tcPr>
          <w:p w14:paraId="43AC0D83" w14:textId="77777777" w:rsidR="00096F49" w:rsidRPr="003207AA" w:rsidRDefault="00096F49" w:rsidP="00EC13AD">
            <w:pPr>
              <w:widowControl/>
              <w:spacing w:line="360" w:lineRule="auto"/>
              <w:jc w:val="both"/>
              <w:rPr>
                <w:rFonts w:ascii="Garamond" w:hAnsi="Garamond" w:cs="Tahoma"/>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3A8F315C" w14:textId="77777777" w:rsidR="00096F49" w:rsidRPr="003207AA" w:rsidRDefault="00096F49" w:rsidP="00EC13AD">
            <w:pPr>
              <w:widowControl/>
              <w:spacing w:line="360" w:lineRule="auto"/>
              <w:jc w:val="both"/>
              <w:rPr>
                <w:rFonts w:ascii="Garamond" w:hAnsi="Garamond" w:cs="Tahoma"/>
                <w:sz w:val="24"/>
                <w:szCs w:val="24"/>
              </w:rPr>
            </w:pPr>
          </w:p>
        </w:tc>
      </w:tr>
      <w:tr w:rsidR="00096F49" w:rsidRPr="003207AA" w14:paraId="285ABA95" w14:textId="77777777" w:rsidTr="00096F49">
        <w:trPr>
          <w:trHeight w:val="567"/>
        </w:trPr>
        <w:tc>
          <w:tcPr>
            <w:tcW w:w="2065" w:type="dxa"/>
            <w:tcBorders>
              <w:top w:val="single" w:sz="4" w:space="0" w:color="000000"/>
              <w:left w:val="single" w:sz="4" w:space="0" w:color="000000"/>
              <w:bottom w:val="single" w:sz="4" w:space="0" w:color="000000"/>
            </w:tcBorders>
            <w:shd w:val="clear" w:color="auto" w:fill="auto"/>
          </w:tcPr>
          <w:p w14:paraId="24C4F7BA" w14:textId="77777777" w:rsidR="00096F49" w:rsidRPr="003207AA" w:rsidRDefault="00096F49" w:rsidP="00EC13AD">
            <w:pPr>
              <w:widowControl/>
              <w:spacing w:line="360" w:lineRule="auto"/>
              <w:jc w:val="both"/>
              <w:rPr>
                <w:rFonts w:ascii="Garamond" w:hAnsi="Garamond" w:cs="Tahoma"/>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3605970" w14:textId="77777777" w:rsidR="00096F49" w:rsidRPr="003207AA" w:rsidRDefault="00096F49" w:rsidP="00EC13AD">
            <w:pPr>
              <w:widowControl/>
              <w:spacing w:line="360" w:lineRule="auto"/>
              <w:jc w:val="both"/>
              <w:rPr>
                <w:rFonts w:ascii="Garamond" w:hAnsi="Garamond" w:cs="Tahoma"/>
                <w:sz w:val="24"/>
                <w:szCs w:val="24"/>
              </w:rPr>
            </w:pPr>
          </w:p>
        </w:tc>
        <w:tc>
          <w:tcPr>
            <w:tcW w:w="1316" w:type="dxa"/>
            <w:tcBorders>
              <w:top w:val="single" w:sz="4" w:space="0" w:color="000000"/>
              <w:left w:val="single" w:sz="4" w:space="0" w:color="000000"/>
              <w:bottom w:val="single" w:sz="4" w:space="0" w:color="000000"/>
            </w:tcBorders>
            <w:shd w:val="clear" w:color="auto" w:fill="auto"/>
          </w:tcPr>
          <w:p w14:paraId="1253E060" w14:textId="77777777" w:rsidR="00096F49" w:rsidRPr="003207AA" w:rsidRDefault="00096F49" w:rsidP="00EC13AD">
            <w:pPr>
              <w:widowControl/>
              <w:spacing w:line="360" w:lineRule="auto"/>
              <w:jc w:val="both"/>
              <w:rPr>
                <w:rFonts w:ascii="Garamond" w:hAnsi="Garamond" w:cs="Tahoma"/>
                <w:sz w:val="24"/>
                <w:szCs w:val="24"/>
              </w:rPr>
            </w:pPr>
          </w:p>
        </w:tc>
        <w:tc>
          <w:tcPr>
            <w:tcW w:w="1276" w:type="dxa"/>
            <w:tcBorders>
              <w:top w:val="single" w:sz="4" w:space="0" w:color="000000"/>
              <w:left w:val="single" w:sz="4" w:space="0" w:color="000000"/>
              <w:bottom w:val="single" w:sz="4" w:space="0" w:color="000000"/>
            </w:tcBorders>
            <w:shd w:val="clear" w:color="auto" w:fill="auto"/>
          </w:tcPr>
          <w:p w14:paraId="36D38FAD" w14:textId="77777777" w:rsidR="00096F49" w:rsidRPr="003207AA" w:rsidRDefault="00096F49" w:rsidP="00EC13AD">
            <w:pPr>
              <w:widowControl/>
              <w:spacing w:line="360" w:lineRule="auto"/>
              <w:jc w:val="both"/>
              <w:rPr>
                <w:rFonts w:ascii="Garamond" w:hAnsi="Garamond" w:cs="Tahoma"/>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D3BC0A7" w14:textId="77777777" w:rsidR="00096F49" w:rsidRPr="003207AA" w:rsidRDefault="00096F49" w:rsidP="00EC13AD">
            <w:pPr>
              <w:widowControl/>
              <w:spacing w:line="360" w:lineRule="auto"/>
              <w:jc w:val="both"/>
              <w:rPr>
                <w:rFonts w:ascii="Garamond" w:hAnsi="Garamond" w:cs="Tahoma"/>
                <w:sz w:val="24"/>
                <w:szCs w:val="24"/>
              </w:rPr>
            </w:pPr>
          </w:p>
        </w:tc>
      </w:tr>
      <w:tr w:rsidR="00096F49" w:rsidRPr="003207AA" w14:paraId="533BCD99" w14:textId="77777777" w:rsidTr="00096F49">
        <w:trPr>
          <w:trHeight w:val="567"/>
        </w:trPr>
        <w:tc>
          <w:tcPr>
            <w:tcW w:w="2065" w:type="dxa"/>
            <w:tcBorders>
              <w:top w:val="single" w:sz="4" w:space="0" w:color="000000"/>
              <w:left w:val="single" w:sz="4" w:space="0" w:color="000000"/>
              <w:bottom w:val="single" w:sz="4" w:space="0" w:color="000000"/>
            </w:tcBorders>
            <w:shd w:val="clear" w:color="auto" w:fill="auto"/>
          </w:tcPr>
          <w:p w14:paraId="3BB4BFF8" w14:textId="77777777" w:rsidR="00096F49" w:rsidRPr="003207AA" w:rsidRDefault="00096F49" w:rsidP="00EC13AD">
            <w:pPr>
              <w:widowControl/>
              <w:spacing w:line="360" w:lineRule="auto"/>
              <w:jc w:val="both"/>
              <w:rPr>
                <w:rFonts w:ascii="Garamond" w:hAnsi="Garamond" w:cs="Tahoma"/>
                <w:sz w:val="24"/>
                <w:szCs w:val="24"/>
              </w:rPr>
            </w:pPr>
          </w:p>
        </w:tc>
        <w:tc>
          <w:tcPr>
            <w:tcW w:w="2977" w:type="dxa"/>
            <w:tcBorders>
              <w:top w:val="single" w:sz="4" w:space="0" w:color="000000"/>
              <w:left w:val="single" w:sz="4" w:space="0" w:color="000000"/>
              <w:bottom w:val="single" w:sz="4" w:space="0" w:color="000000"/>
            </w:tcBorders>
            <w:shd w:val="clear" w:color="auto" w:fill="auto"/>
          </w:tcPr>
          <w:p w14:paraId="20355EC5" w14:textId="77777777" w:rsidR="00096F49" w:rsidRPr="003207AA" w:rsidRDefault="00096F49" w:rsidP="00EC13AD">
            <w:pPr>
              <w:widowControl/>
              <w:spacing w:line="360" w:lineRule="auto"/>
              <w:jc w:val="both"/>
              <w:rPr>
                <w:rFonts w:ascii="Garamond" w:hAnsi="Garamond" w:cs="Tahoma"/>
                <w:sz w:val="24"/>
                <w:szCs w:val="24"/>
              </w:rPr>
            </w:pPr>
          </w:p>
        </w:tc>
        <w:tc>
          <w:tcPr>
            <w:tcW w:w="1316" w:type="dxa"/>
            <w:tcBorders>
              <w:top w:val="single" w:sz="4" w:space="0" w:color="000000"/>
              <w:left w:val="single" w:sz="4" w:space="0" w:color="000000"/>
              <w:bottom w:val="single" w:sz="4" w:space="0" w:color="000000"/>
            </w:tcBorders>
            <w:shd w:val="clear" w:color="auto" w:fill="auto"/>
          </w:tcPr>
          <w:p w14:paraId="3A815E98" w14:textId="77777777" w:rsidR="00096F49" w:rsidRPr="003207AA" w:rsidRDefault="00096F49" w:rsidP="00EC13AD">
            <w:pPr>
              <w:widowControl/>
              <w:spacing w:line="360" w:lineRule="auto"/>
              <w:jc w:val="both"/>
              <w:rPr>
                <w:rFonts w:ascii="Garamond" w:hAnsi="Garamond" w:cs="Tahoma"/>
                <w:sz w:val="24"/>
                <w:szCs w:val="24"/>
              </w:rPr>
            </w:pPr>
          </w:p>
        </w:tc>
        <w:tc>
          <w:tcPr>
            <w:tcW w:w="1276" w:type="dxa"/>
            <w:tcBorders>
              <w:top w:val="single" w:sz="4" w:space="0" w:color="000000"/>
              <w:left w:val="single" w:sz="4" w:space="0" w:color="000000"/>
              <w:bottom w:val="single" w:sz="4" w:space="0" w:color="000000"/>
            </w:tcBorders>
            <w:shd w:val="clear" w:color="auto" w:fill="auto"/>
          </w:tcPr>
          <w:p w14:paraId="1016BB72" w14:textId="77777777" w:rsidR="00096F49" w:rsidRPr="003207AA" w:rsidRDefault="00096F49" w:rsidP="00EC13AD">
            <w:pPr>
              <w:widowControl/>
              <w:spacing w:line="360" w:lineRule="auto"/>
              <w:jc w:val="both"/>
              <w:rPr>
                <w:rFonts w:ascii="Garamond" w:hAnsi="Garamond" w:cs="Tahoma"/>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321D02A" w14:textId="77777777" w:rsidR="00096F49" w:rsidRPr="003207AA" w:rsidRDefault="00096F49" w:rsidP="00EC13AD">
            <w:pPr>
              <w:widowControl/>
              <w:spacing w:line="360" w:lineRule="auto"/>
              <w:jc w:val="both"/>
              <w:rPr>
                <w:rFonts w:ascii="Garamond" w:hAnsi="Garamond" w:cs="Tahoma"/>
                <w:sz w:val="24"/>
                <w:szCs w:val="24"/>
              </w:rPr>
            </w:pPr>
          </w:p>
        </w:tc>
      </w:tr>
    </w:tbl>
    <w:bookmarkEnd w:id="9"/>
    <w:p w14:paraId="24CF10F4" w14:textId="60C988DE" w:rsidR="00096F49" w:rsidRPr="00096F49" w:rsidRDefault="00096F49" w:rsidP="00096F49">
      <w:pPr>
        <w:pStyle w:val="Standard"/>
        <w:tabs>
          <w:tab w:val="left" w:pos="-31226"/>
        </w:tabs>
        <w:ind w:left="454"/>
        <w:jc w:val="both"/>
        <w:rPr>
          <w:rFonts w:ascii="Garamond" w:eastAsia="Tahoma" w:hAnsi="Garamond" w:cs="Tahoma"/>
          <w:b/>
          <w:szCs w:val="24"/>
        </w:rPr>
      </w:pPr>
      <w:r w:rsidRPr="00096F49">
        <w:rPr>
          <w:rFonts w:ascii="Garamond" w:eastAsia="Tahoma" w:hAnsi="Garamond" w:cs="Tahoma"/>
          <w:b/>
          <w:szCs w:val="24"/>
        </w:rPr>
        <w:tab/>
      </w:r>
      <w:r w:rsidRPr="00096F49">
        <w:rPr>
          <w:rFonts w:ascii="Garamond" w:eastAsia="Tahoma" w:hAnsi="Garamond" w:cs="Tahoma"/>
          <w:b/>
          <w:szCs w:val="24"/>
        </w:rPr>
        <w:tab/>
      </w:r>
      <w:r w:rsidRPr="00096F49">
        <w:rPr>
          <w:rFonts w:ascii="Garamond" w:eastAsia="Tahoma" w:hAnsi="Garamond" w:cs="Tahoma"/>
          <w:b/>
          <w:szCs w:val="24"/>
        </w:rPr>
        <w:tab/>
      </w:r>
      <w:r w:rsidRPr="00096F49">
        <w:rPr>
          <w:rFonts w:ascii="Garamond" w:eastAsia="Tahoma" w:hAnsi="Garamond" w:cs="Tahoma"/>
          <w:b/>
          <w:szCs w:val="24"/>
        </w:rPr>
        <w:tab/>
      </w:r>
    </w:p>
    <w:p w14:paraId="36CA2F04" w14:textId="77777777" w:rsidR="00096F49" w:rsidRPr="00096F49" w:rsidRDefault="00096F49" w:rsidP="00096F49">
      <w:pPr>
        <w:pStyle w:val="Standard"/>
        <w:tabs>
          <w:tab w:val="left" w:pos="-31226"/>
        </w:tabs>
        <w:ind w:left="454"/>
        <w:jc w:val="both"/>
        <w:rPr>
          <w:rFonts w:ascii="Garamond" w:eastAsia="Tahoma" w:hAnsi="Garamond" w:cs="Tahoma"/>
          <w:b/>
          <w:szCs w:val="24"/>
        </w:rPr>
      </w:pPr>
      <w:r w:rsidRPr="00096F49">
        <w:rPr>
          <w:rFonts w:ascii="Garamond" w:eastAsia="Tahoma" w:hAnsi="Garamond" w:cs="Tahoma"/>
          <w:b/>
          <w:szCs w:val="24"/>
        </w:rPr>
        <w:tab/>
      </w:r>
      <w:r w:rsidRPr="00096F49">
        <w:rPr>
          <w:rFonts w:ascii="Garamond" w:eastAsia="Tahoma" w:hAnsi="Garamond" w:cs="Tahoma"/>
          <w:b/>
          <w:szCs w:val="24"/>
        </w:rPr>
        <w:tab/>
      </w:r>
      <w:r w:rsidRPr="00096F49">
        <w:rPr>
          <w:rFonts w:ascii="Garamond" w:eastAsia="Tahoma" w:hAnsi="Garamond" w:cs="Tahoma"/>
          <w:b/>
          <w:szCs w:val="24"/>
        </w:rPr>
        <w:tab/>
      </w:r>
      <w:r w:rsidRPr="00096F49">
        <w:rPr>
          <w:rFonts w:ascii="Garamond" w:eastAsia="Tahoma" w:hAnsi="Garamond" w:cs="Tahoma"/>
          <w:b/>
          <w:szCs w:val="24"/>
        </w:rPr>
        <w:tab/>
      </w:r>
    </w:p>
    <w:p w14:paraId="057A8625" w14:textId="77777777" w:rsidR="00096F49" w:rsidRPr="00096F49" w:rsidRDefault="00096F49" w:rsidP="00096F49">
      <w:pPr>
        <w:pStyle w:val="Standard"/>
        <w:tabs>
          <w:tab w:val="left" w:pos="-31226"/>
        </w:tabs>
        <w:ind w:left="454"/>
        <w:jc w:val="both"/>
        <w:rPr>
          <w:rFonts w:ascii="Garamond" w:eastAsia="Tahoma" w:hAnsi="Garamond" w:cs="Tahoma"/>
          <w:b/>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lastRenderedPageBreak/>
        <w:tab/>
        <w:t>criteri di selezione (AVVALIMENTO</w:t>
      </w:r>
      <w:proofErr w:type="gramStart"/>
      <w:r w:rsidRPr="000C5668">
        <w:rPr>
          <w:rFonts w:ascii="Garamond" w:eastAsia="Tahoma" w:hAnsi="Garamond" w:cs="Tahoma"/>
          <w:b/>
          <w:szCs w:val="24"/>
        </w:rPr>
        <w:t>)?</w:t>
      </w:r>
      <w:r w:rsidRPr="000C5668">
        <w:rPr>
          <w:rFonts w:ascii="Garamond" w:eastAsia="Tahoma" w:hAnsi="Garamond" w:cs="Tahoma"/>
          <w:szCs w:val="24"/>
        </w:rPr>
        <w:t>:</w:t>
      </w:r>
      <w:proofErr w:type="gramEnd"/>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xmlns="">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 xml:space="preserve">1: Il contratto di </w:t>
      </w:r>
      <w:proofErr w:type="gramStart"/>
      <w:r w:rsidR="004A5790">
        <w:rPr>
          <w:rFonts w:ascii="Garamond" w:eastAsia="Tahoma" w:hAnsi="Garamond" w:cs="Tahoma"/>
          <w:szCs w:val="24"/>
        </w:rPr>
        <w:t>avvalimento:</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xmlns="">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w:t>
      </w:r>
      <w:proofErr w:type="gramStart"/>
      <w:r w:rsidR="004A5790">
        <w:rPr>
          <w:rFonts w:ascii="Garamond" w:eastAsia="Tahoma" w:hAnsi="Garamond" w:cs="Tahoma"/>
          <w:szCs w:val="24"/>
        </w:rPr>
        <w:t xml:space="preserve">dell’ausiliaria:  </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xmlns="">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w:t>
      </w:r>
      <w:proofErr w:type="gramStart"/>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proofErr w:type="gramStart"/>
      <w:r w:rsidR="002F3520" w:rsidRPr="000C5668">
        <w:rPr>
          <w:rFonts w:ascii="Garamond" w:hAnsi="Garamond"/>
          <w:szCs w:val="24"/>
        </w:rPr>
        <w:t>)</w:t>
      </w:r>
      <w:r w:rsidR="002F3520" w:rsidRPr="000C5668">
        <w:rPr>
          <w:rFonts w:ascii="Garamond" w:eastAsia="Tahoma" w:hAnsi="Garamond" w:cs="Tahoma"/>
          <w:szCs w:val="24"/>
        </w:rPr>
        <w:t xml:space="preserve">:   </w:t>
      </w:r>
      <w:proofErr w:type="gramEnd"/>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bookmarkStart w:id="10" w:name="_Hlk72482095"/>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w:t>
      </w:r>
      <w:proofErr w:type="gramStart"/>
      <w:r w:rsidRPr="00717EBB">
        <w:rPr>
          <w:rFonts w:ascii="Garamond" w:hAnsi="Garamond"/>
          <w:sz w:val="24"/>
          <w:szCs w:val="24"/>
        </w:rPr>
        <w:t>obbligarsi  a</w:t>
      </w:r>
      <w:proofErr w:type="gramEnd"/>
      <w:r w:rsidRPr="00717EBB">
        <w:rPr>
          <w:rFonts w:ascii="Garamond" w:hAnsi="Garamond"/>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w:t>
      </w:r>
      <w:proofErr w:type="gramStart"/>
      <w:r w:rsidRPr="00717EBB">
        <w:rPr>
          <w:rFonts w:ascii="Garamond" w:hAnsi="Garamond"/>
          <w:sz w:val="24"/>
          <w:szCs w:val="24"/>
        </w:rPr>
        <w:t>E'</w:t>
      </w:r>
      <w:proofErr w:type="gramEnd"/>
      <w:r w:rsidRPr="00717EBB">
        <w:rPr>
          <w:rFonts w:ascii="Garamond" w:hAnsi="Garamond"/>
          <w:sz w:val="24"/>
          <w:szCs w:val="24"/>
        </w:rPr>
        <w:t xml:space="preserv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lastRenderedPageBreak/>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xmlns="">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xmlns="">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lastRenderedPageBreak/>
        <w:t>indica i seguenti dati: domicilio fiscale …………; codice fiscale ……………, partita IVA ……………</w:t>
      </w:r>
      <w:proofErr w:type="gramStart"/>
      <w:r w:rsidRPr="000C5668">
        <w:rPr>
          <w:rFonts w:ascii="Garamond" w:eastAsia="Tahoma" w:hAnsi="Garamond" w:cs="Tahoma"/>
          <w:bCs/>
          <w:szCs w:val="24"/>
        </w:rPr>
        <w:t>…….</w:t>
      </w:r>
      <w:proofErr w:type="gramEnd"/>
      <w:r w:rsidRPr="000C5668">
        <w:rPr>
          <w:rFonts w:ascii="Garamond" w:eastAsia="Tahoma" w:hAnsi="Garamond" w:cs="Tahoma"/>
          <w:bCs/>
          <w:szCs w:val="24"/>
        </w:rPr>
        <w:t>;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bookmarkEnd w:id="10"/>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bookmarkStart w:id="11" w:name="_Hlk72482190"/>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bookmarkStart w:id="12" w:name="_Hlk72482172"/>
      <w:bookmarkEnd w:id="11"/>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bookmarkEnd w:id="12"/>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charset w:val="00"/>
    <w:family w:val="auto"/>
    <w:pitch w:val="default"/>
  </w:font>
  <w:font w:name="TimesNewRomanPSMT">
    <w:altName w:val="PMingLiU"/>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706306"/>
    <w:multiLevelType w:val="hybridMultilevel"/>
    <w:tmpl w:val="09CAC97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30"/>
  </w:num>
  <w:num w:numId="5">
    <w:abstractNumId w:val="12"/>
  </w:num>
  <w:num w:numId="6">
    <w:abstractNumId w:val="22"/>
  </w:num>
  <w:num w:numId="7">
    <w:abstractNumId w:val="27"/>
  </w:num>
  <w:num w:numId="8">
    <w:abstractNumId w:val="18"/>
  </w:num>
  <w:num w:numId="9">
    <w:abstractNumId w:val="14"/>
  </w:num>
  <w:num w:numId="10">
    <w:abstractNumId w:val="34"/>
  </w:num>
  <w:num w:numId="11">
    <w:abstractNumId w:val="3"/>
  </w:num>
  <w:num w:numId="12">
    <w:abstractNumId w:val="1"/>
  </w:num>
  <w:num w:numId="13">
    <w:abstractNumId w:val="8"/>
  </w:num>
  <w:num w:numId="14">
    <w:abstractNumId w:val="32"/>
  </w:num>
  <w:num w:numId="15">
    <w:abstractNumId w:val="15"/>
  </w:num>
  <w:num w:numId="16">
    <w:abstractNumId w:val="21"/>
  </w:num>
  <w:num w:numId="17">
    <w:abstractNumId w:val="33"/>
  </w:num>
  <w:num w:numId="18">
    <w:abstractNumId w:val="20"/>
  </w:num>
  <w:num w:numId="19">
    <w:abstractNumId w:val="35"/>
  </w:num>
  <w:num w:numId="20">
    <w:abstractNumId w:val="12"/>
  </w:num>
  <w:num w:numId="21">
    <w:abstractNumId w:val="4"/>
  </w:num>
  <w:num w:numId="22">
    <w:abstractNumId w:val="26"/>
  </w:num>
  <w:num w:numId="23">
    <w:abstractNumId w:val="5"/>
  </w:num>
  <w:num w:numId="24">
    <w:abstractNumId w:val="36"/>
  </w:num>
  <w:num w:numId="25">
    <w:abstractNumId w:val="7"/>
  </w:num>
  <w:num w:numId="26">
    <w:abstractNumId w:val="13"/>
  </w:num>
  <w:num w:numId="27">
    <w:abstractNumId w:val="29"/>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D"/>
    <w:rsid w:val="0000320A"/>
    <w:rsid w:val="00021619"/>
    <w:rsid w:val="0002396A"/>
    <w:rsid w:val="0002635A"/>
    <w:rsid w:val="000530C7"/>
    <w:rsid w:val="00067F06"/>
    <w:rsid w:val="000846D1"/>
    <w:rsid w:val="00096F49"/>
    <w:rsid w:val="000B4663"/>
    <w:rsid w:val="000B6B58"/>
    <w:rsid w:val="000C5668"/>
    <w:rsid w:val="000C6CAE"/>
    <w:rsid w:val="000E7134"/>
    <w:rsid w:val="0012001F"/>
    <w:rsid w:val="00162EED"/>
    <w:rsid w:val="0017310D"/>
    <w:rsid w:val="00191DE6"/>
    <w:rsid w:val="001A4F0E"/>
    <w:rsid w:val="001C6A36"/>
    <w:rsid w:val="001E3E1E"/>
    <w:rsid w:val="00216740"/>
    <w:rsid w:val="00270373"/>
    <w:rsid w:val="002719EF"/>
    <w:rsid w:val="00293248"/>
    <w:rsid w:val="00296D55"/>
    <w:rsid w:val="002B4246"/>
    <w:rsid w:val="002B448D"/>
    <w:rsid w:val="002B4F54"/>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77C3D"/>
    <w:rsid w:val="0049411B"/>
    <w:rsid w:val="004A5790"/>
    <w:rsid w:val="004B217E"/>
    <w:rsid w:val="004C00F4"/>
    <w:rsid w:val="004C5051"/>
    <w:rsid w:val="004D5B15"/>
    <w:rsid w:val="00503770"/>
    <w:rsid w:val="00521699"/>
    <w:rsid w:val="005302CE"/>
    <w:rsid w:val="00547EAF"/>
    <w:rsid w:val="00566E76"/>
    <w:rsid w:val="005B0E4B"/>
    <w:rsid w:val="005B11D5"/>
    <w:rsid w:val="005B39B0"/>
    <w:rsid w:val="005C0414"/>
    <w:rsid w:val="005E42C4"/>
    <w:rsid w:val="006028DB"/>
    <w:rsid w:val="00651BFC"/>
    <w:rsid w:val="006534C3"/>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30FF3"/>
    <w:rsid w:val="00A34BA6"/>
    <w:rsid w:val="00A511E0"/>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4C83"/>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2774</Words>
  <Characters>15817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14</cp:revision>
  <cp:lastPrinted>2021-07-09T11:35:00Z</cp:lastPrinted>
  <dcterms:created xsi:type="dcterms:W3CDTF">2021-05-21T07:18:00Z</dcterms:created>
  <dcterms:modified xsi:type="dcterms:W3CDTF">2021-07-09T11:35:00Z</dcterms:modified>
</cp:coreProperties>
</file>