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71790D97" w14:textId="77777777" w:rsidR="00DC026D" w:rsidRDefault="00DC026D" w:rsidP="00DC026D">
      <w:pPr>
        <w:autoSpaceDE w:val="0"/>
        <w:adjustRightInd w:val="0"/>
        <w:jc w:val="both"/>
        <w:rPr>
          <w:b/>
          <w:bCs/>
          <w:sz w:val="22"/>
          <w:szCs w:val="22"/>
        </w:rPr>
      </w:pPr>
      <w:bookmarkStart w:id="5" w:name="OLE_LINK21"/>
      <w:bookmarkStart w:id="6" w:name="OLE_LINK2"/>
      <w:bookmarkEnd w:id="0"/>
      <w:bookmarkEnd w:id="1"/>
      <w:bookmarkEnd w:id="2"/>
      <w:bookmarkEnd w:id="3"/>
      <w:bookmarkEnd w:id="4"/>
      <w:r>
        <w:rPr>
          <w:b/>
          <w:bCs/>
          <w:sz w:val="22"/>
          <w:szCs w:val="22"/>
        </w:rPr>
        <w:t>PROCEDURA NEGOZIATA</w:t>
      </w:r>
      <w:r w:rsidRPr="006F5EFE">
        <w:t xml:space="preserve"> </w:t>
      </w:r>
      <w:r w:rsidRPr="006F5EFE">
        <w:rPr>
          <w:b/>
          <w:bCs/>
          <w:sz w:val="22"/>
          <w:szCs w:val="22"/>
        </w:rPr>
        <w:t>AI SENSI DELL’ART. 1, COMMA 2, LETT. B) L. 120/2020 IN DEROGA ALL’ART. 36, COMMA 2 LETT. B) D.LGS. 50/2016 COME MODIFICATO DALL’ART. 51, COMMA 1, LETTA. A) SUB. 2.2), DECRETO-LEGGE N. 77 DEL 2021), TRAMITE R.D.O. APERTA A TUTTI GLI OPERATORI ECONOMICI ISCRITTI ALLA CATEGORIA DI RIFERIMENTO PRESENTE SULLA PIATTAFORMA DI INTERCENTER SATER CPV 55524000-9- RISTORAZIONE SCOLASTICA</w:t>
      </w:r>
      <w:r>
        <w:rPr>
          <w:b/>
          <w:bCs/>
          <w:sz w:val="22"/>
          <w:szCs w:val="22"/>
        </w:rPr>
        <w:t xml:space="preserve"> PER L’</w:t>
      </w:r>
      <w:r w:rsidRPr="001741B6">
        <w:rPr>
          <w:b/>
          <w:bCs/>
          <w:sz w:val="22"/>
          <w:szCs w:val="22"/>
        </w:rPr>
        <w:t>AFFIDAMENTO IN APPALTO DEL SERVIZIO DI RISTORAZIONE PRESSO IL NIDO D'INFANZIA "ELEFANTINO" PER IL PERIODO 01/09/2021 - 31/08/2022</w:t>
      </w:r>
      <w:r>
        <w:rPr>
          <w:b/>
          <w:bCs/>
          <w:sz w:val="22"/>
          <w:szCs w:val="22"/>
        </w:rPr>
        <w:t>, OLTRE RINNOVO PER PARI PERIODO E PROROGA TECNICA DI MESI 6</w:t>
      </w:r>
    </w:p>
    <w:p w14:paraId="67FE01D1" w14:textId="77777777" w:rsidR="00BE3BF6" w:rsidRDefault="00BE3BF6" w:rsidP="001E3E1E">
      <w:pPr>
        <w:autoSpaceDE w:val="0"/>
        <w:adjustRightInd w:val="0"/>
        <w:rPr>
          <w:rFonts w:ascii="Calibri Light" w:hAnsi="Calibri Light" w:cs="TimesNewRomanPSMT"/>
          <w:b/>
          <w:sz w:val="22"/>
          <w:szCs w:val="22"/>
          <w:lang w:eastAsia="it-IT"/>
        </w:rPr>
      </w:pPr>
    </w:p>
    <w:p w14:paraId="0187ECCC" w14:textId="77777777" w:rsidR="002F5C88" w:rsidRDefault="002F5C88" w:rsidP="002F5C88">
      <w:pPr>
        <w:autoSpaceDE w:val="0"/>
        <w:adjustRightInd w:val="0"/>
        <w:rPr>
          <w:rFonts w:ascii="Calibri Light" w:hAnsi="Calibri Light" w:cs="TimesNewRomanPSMT"/>
          <w:sz w:val="22"/>
          <w:szCs w:val="22"/>
          <w:lang w:eastAsia="it-IT"/>
        </w:rPr>
      </w:pPr>
      <w:r w:rsidRPr="000E2070">
        <w:rPr>
          <w:rFonts w:ascii="Calibri Light" w:hAnsi="Calibri Light" w:cs="TimesNewRomanPSMT"/>
          <w:sz w:val="22"/>
          <w:szCs w:val="22"/>
          <w:lang w:eastAsia="it-IT"/>
        </w:rPr>
        <w:t>CIG: 882973824E</w:t>
      </w:r>
    </w:p>
    <w:p w14:paraId="5693F54C" w14:textId="77777777" w:rsidR="002F5C88" w:rsidRPr="00D8071A" w:rsidRDefault="002F5C88" w:rsidP="002F5C88">
      <w:pPr>
        <w:autoSpaceDE w:val="0"/>
        <w:adjustRightInd w:val="0"/>
        <w:rPr>
          <w:rFonts w:ascii="Calibri Light" w:hAnsi="Calibri Light" w:cs="Arial"/>
          <w:b/>
          <w:bCs/>
          <w:sz w:val="22"/>
          <w:szCs w:val="22"/>
        </w:rPr>
      </w:pPr>
      <w:r w:rsidRPr="004868C5">
        <w:rPr>
          <w:rFonts w:ascii="Calibri Light" w:hAnsi="Calibri Light" w:cs="TimesNewRomanPSMT"/>
          <w:sz w:val="22"/>
          <w:szCs w:val="22"/>
          <w:lang w:eastAsia="it-IT"/>
        </w:rPr>
        <w:t xml:space="preserve">CPV: </w:t>
      </w:r>
      <w:r w:rsidRPr="000003A7">
        <w:rPr>
          <w:rFonts w:ascii="Calibri Light" w:eastAsia="TimesNewRomanPS-BoldMT" w:hAnsi="Calibri Light" w:cs="TimesNewRomanPSMT"/>
          <w:sz w:val="24"/>
          <w:szCs w:val="24"/>
          <w:lang w:eastAsia="it-IT"/>
        </w:rPr>
        <w:t>55524000-9</w:t>
      </w:r>
      <w:r w:rsidRPr="004868C5">
        <w:rPr>
          <w:rFonts w:ascii="Calibri Light" w:hAnsi="Calibri Light" w:cs="TimesNewRomanPSMT"/>
          <w:sz w:val="22"/>
          <w:szCs w:val="22"/>
          <w:lang w:eastAsia="it-IT"/>
        </w:rPr>
        <w:t xml:space="preserve"> “</w:t>
      </w:r>
      <w:r>
        <w:rPr>
          <w:rFonts w:ascii="Calibri Light" w:hAnsi="Calibri Light" w:cs="TimesNewRomanPSMT"/>
          <w:sz w:val="22"/>
          <w:szCs w:val="22"/>
          <w:lang w:eastAsia="it-IT"/>
        </w:rPr>
        <w:t>Ristorazione scolastica</w:t>
      </w:r>
      <w:r w:rsidRPr="004868C5">
        <w:rPr>
          <w:rFonts w:ascii="Calibri Light" w:hAnsi="Calibri Light" w:cs="TimesNewRomanPSMT"/>
          <w:sz w:val="22"/>
          <w:szCs w:val="22"/>
          <w:lang w:eastAsia="it-IT"/>
        </w:rPr>
        <w:t>”.</w:t>
      </w:r>
    </w:p>
    <w:p w14:paraId="58C3F983" w14:textId="77777777" w:rsidR="00733775" w:rsidRPr="000C5668" w:rsidRDefault="00733775" w:rsidP="00733775">
      <w:pPr>
        <w:rPr>
          <w:rFonts w:ascii="Garamond" w:eastAsia="Arial Unicode MS" w:hAnsi="Garamond" w:cs="Tahoma"/>
          <w:sz w:val="24"/>
          <w:szCs w:val="24"/>
        </w:rPr>
      </w:pPr>
    </w:p>
    <w:bookmarkEnd w:id="5"/>
    <w:bookmarkEnd w:id="6"/>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(art. 45, comma 2, lettera b) del D.Lgs.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lastRenderedPageBreak/>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lastRenderedPageBreak/>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5B01EED6"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74346B8B"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1A0EB19A"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40C02F65"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7E7165A"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67513A4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3236CAB5"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7B0B4BB4"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7B64434E"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076FE8C"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00101A67"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04D19738"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77A302DA" w14:textId="008F7105" w:rsidR="00F20F8B" w:rsidRPr="000C5668" w:rsidRDefault="002E7E24" w:rsidP="002E7E24">
      <w:pPr>
        <w:pStyle w:val="Standard"/>
        <w:widowControl w:val="0"/>
        <w:tabs>
          <w:tab w:val="left" w:pos="-31226"/>
          <w:tab w:val="left" w:pos="1140"/>
        </w:tabs>
        <w:jc w:val="both"/>
        <w:rPr>
          <w:rFonts w:ascii="Garamond" w:hAnsi="Garamond"/>
          <w:szCs w:val="24"/>
        </w:rPr>
      </w:pPr>
      <w:bookmarkStart w:id="8" w:name="_Hlk76984190"/>
      <w:r>
        <w:rPr>
          <w:rFonts w:ascii="Garamond" w:eastAsia="Tahoma" w:hAnsi="Garamond" w:cs="Tahoma"/>
          <w:b/>
          <w:szCs w:val="24"/>
        </w:rPr>
        <w:tab/>
      </w:r>
      <w:r w:rsidR="002C6102" w:rsidRPr="000C5668">
        <w:rPr>
          <w:rFonts w:ascii="Garamond" w:eastAsia="Tahoma" w:hAnsi="Garamond" w:cs="Tahoma"/>
          <w:b/>
          <w:szCs w:val="24"/>
        </w:rPr>
        <w:t xml:space="preserve">CAPACITÀ </w:t>
      </w:r>
      <w:r w:rsidR="002C6102">
        <w:rPr>
          <w:rFonts w:ascii="Garamond" w:eastAsia="Tahoma" w:hAnsi="Garamond" w:cs="Tahoma"/>
          <w:b/>
          <w:szCs w:val="24"/>
        </w:rPr>
        <w:t>ECONOMICO FINANZIARIA</w:t>
      </w:r>
      <w:r w:rsidR="002C6102" w:rsidRPr="000C5668">
        <w:rPr>
          <w:rFonts w:ascii="Garamond" w:eastAsia="Tahoma" w:hAnsi="Garamond" w:cs="Tahoma"/>
          <w:b/>
          <w:szCs w:val="24"/>
        </w:rPr>
        <w:t>:</w:t>
      </w:r>
    </w:p>
    <w:p w14:paraId="43B165F1" w14:textId="57736159" w:rsidR="00F20F8B" w:rsidRDefault="00F20F8B" w:rsidP="00F20F8B">
      <w:pPr>
        <w:pStyle w:val="Standard"/>
        <w:widowControl w:val="0"/>
        <w:tabs>
          <w:tab w:val="left" w:pos="-14930"/>
          <w:tab w:val="left" w:pos="-13938"/>
        </w:tabs>
        <w:ind w:left="850"/>
        <w:jc w:val="both"/>
        <w:rPr>
          <w:rFonts w:ascii="Garamond" w:hAnsi="Garamond"/>
          <w:szCs w:val="24"/>
        </w:rPr>
      </w:pPr>
    </w:p>
    <w:p w14:paraId="69ED038B" w14:textId="77777777" w:rsidR="002C6102" w:rsidRDefault="002E7E24" w:rsidP="002E7E24">
      <w:pPr>
        <w:pStyle w:val="Standard"/>
        <w:tabs>
          <w:tab w:val="left" w:pos="-14930"/>
          <w:tab w:val="left" w:pos="-13938"/>
        </w:tabs>
        <w:ind w:left="1068"/>
        <w:rPr>
          <w:rFonts w:ascii="Garamond" w:hAnsi="Garamond"/>
          <w:szCs w:val="24"/>
        </w:rPr>
      </w:pPr>
      <w:r w:rsidRPr="002E7E24">
        <w:rPr>
          <w:rFonts w:ascii="Garamond" w:hAnsi="Garamond"/>
          <w:szCs w:val="24"/>
        </w:rPr>
        <w:t>di avere maturato esperienze analoghe di gestione di servizi di ristorazione in strutture educative (nido d’infanzia) nell’ultimo triennio (2018 – 2020) per un importo medio annuo non inferiore all’importo a base di gara, oneri fiscali esclusi e al netto del valore delle eventuali prestazioni inserite in appalto non inerenti servizi educativi</w:t>
      </w:r>
      <w:r w:rsidR="009D0A18" w:rsidRPr="009D0A18">
        <w:rPr>
          <w:rFonts w:ascii="Garamond" w:hAnsi="Garamond"/>
          <w:szCs w:val="24"/>
        </w:rPr>
        <w:t xml:space="preserve">      </w:t>
      </w:r>
    </w:p>
    <w:p w14:paraId="5A38DD3F" w14:textId="77777777" w:rsidR="002C6102" w:rsidRDefault="002C6102" w:rsidP="002E7E24">
      <w:pPr>
        <w:pStyle w:val="Standard"/>
        <w:tabs>
          <w:tab w:val="left" w:pos="-14930"/>
          <w:tab w:val="left" w:pos="-13938"/>
        </w:tabs>
        <w:ind w:left="1068"/>
        <w:rPr>
          <w:rFonts w:ascii="Garamond" w:hAnsi="Garamond"/>
          <w:szCs w:val="24"/>
        </w:rPr>
      </w:pPr>
    </w:p>
    <w:p w14:paraId="628ACAE7" w14:textId="03F76A3C" w:rsidR="009D0A18" w:rsidRDefault="009D0A18" w:rsidP="002E7E24">
      <w:pPr>
        <w:pStyle w:val="Standard"/>
        <w:tabs>
          <w:tab w:val="left" w:pos="-14930"/>
          <w:tab w:val="left" w:pos="-13938"/>
        </w:tabs>
        <w:ind w:left="1068"/>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45B32004" w14:textId="03E01758" w:rsidR="002C6102" w:rsidRDefault="002C6102" w:rsidP="002E7E24">
      <w:pPr>
        <w:pStyle w:val="Standard"/>
        <w:tabs>
          <w:tab w:val="left" w:pos="-14930"/>
          <w:tab w:val="left" w:pos="-13938"/>
        </w:tabs>
        <w:ind w:left="1068"/>
        <w:rPr>
          <w:rFonts w:ascii="Garamond" w:hAnsi="Garamond"/>
          <w:szCs w:val="24"/>
        </w:rPr>
      </w:pPr>
    </w:p>
    <w:p w14:paraId="46EC2EEF" w14:textId="26501774" w:rsidR="002C6102" w:rsidRDefault="002C6102" w:rsidP="002E7E24">
      <w:pPr>
        <w:pStyle w:val="Standard"/>
        <w:tabs>
          <w:tab w:val="left" w:pos="-14930"/>
          <w:tab w:val="left" w:pos="-13938"/>
        </w:tabs>
        <w:ind w:left="1068"/>
        <w:rPr>
          <w:rFonts w:ascii="Garamond" w:hAnsi="Garamond"/>
          <w:szCs w:val="24"/>
        </w:rPr>
      </w:pPr>
      <w:r>
        <w:rPr>
          <w:rFonts w:ascii="Garamond" w:hAnsi="Garamond"/>
          <w:szCs w:val="24"/>
        </w:rPr>
        <w:t>Periodo ____________________________________________________________________</w:t>
      </w:r>
    </w:p>
    <w:p w14:paraId="4EA9C310" w14:textId="61AD23B0" w:rsidR="002C6102" w:rsidRDefault="002C6102" w:rsidP="002E7E24">
      <w:pPr>
        <w:pStyle w:val="Standard"/>
        <w:tabs>
          <w:tab w:val="left" w:pos="-14930"/>
          <w:tab w:val="left" w:pos="-13938"/>
        </w:tabs>
        <w:ind w:left="1068"/>
        <w:rPr>
          <w:rFonts w:ascii="Garamond" w:hAnsi="Garamond"/>
          <w:szCs w:val="24"/>
        </w:rPr>
      </w:pPr>
    </w:p>
    <w:p w14:paraId="4A3EFFD6" w14:textId="713FB0AE" w:rsidR="002C6102" w:rsidRDefault="002C6102" w:rsidP="002E7E24">
      <w:pPr>
        <w:pStyle w:val="Standard"/>
        <w:tabs>
          <w:tab w:val="left" w:pos="-14930"/>
          <w:tab w:val="left" w:pos="-13938"/>
        </w:tabs>
        <w:ind w:left="1068"/>
        <w:rPr>
          <w:rFonts w:ascii="Garamond" w:hAnsi="Garamond"/>
          <w:szCs w:val="24"/>
        </w:rPr>
      </w:pPr>
      <w:r>
        <w:rPr>
          <w:rFonts w:ascii="Garamond" w:hAnsi="Garamond"/>
          <w:szCs w:val="24"/>
        </w:rPr>
        <w:lastRenderedPageBreak/>
        <w:t>Struttura educativa_________________________________________________________</w:t>
      </w:r>
    </w:p>
    <w:p w14:paraId="630B7E6C" w14:textId="4AFDD990" w:rsidR="002C6102" w:rsidRDefault="002C6102" w:rsidP="002E7E24">
      <w:pPr>
        <w:pStyle w:val="Standard"/>
        <w:tabs>
          <w:tab w:val="left" w:pos="-14930"/>
          <w:tab w:val="left" w:pos="-13938"/>
        </w:tabs>
        <w:ind w:left="1068"/>
        <w:rPr>
          <w:rFonts w:ascii="Garamond" w:hAnsi="Garamond"/>
          <w:szCs w:val="24"/>
        </w:rPr>
      </w:pPr>
    </w:p>
    <w:p w14:paraId="07904B79" w14:textId="3FF9E1ED" w:rsidR="002C6102" w:rsidRDefault="002C6102" w:rsidP="002E7E24">
      <w:pPr>
        <w:pStyle w:val="Standard"/>
        <w:tabs>
          <w:tab w:val="left" w:pos="-14930"/>
          <w:tab w:val="left" w:pos="-13938"/>
        </w:tabs>
        <w:ind w:left="1068"/>
        <w:rPr>
          <w:rFonts w:ascii="Garamond" w:hAnsi="Garamond"/>
          <w:szCs w:val="24"/>
        </w:rPr>
      </w:pPr>
      <w:r>
        <w:rPr>
          <w:rFonts w:ascii="Garamond" w:hAnsi="Garamond"/>
          <w:szCs w:val="24"/>
        </w:rPr>
        <w:t>Importo__________________________________________________________________</w:t>
      </w:r>
    </w:p>
    <w:p w14:paraId="705D1EFB" w14:textId="3F7A73E0" w:rsidR="002C6102" w:rsidRDefault="002C6102" w:rsidP="002E7E24">
      <w:pPr>
        <w:pStyle w:val="Standard"/>
        <w:tabs>
          <w:tab w:val="left" w:pos="-14930"/>
          <w:tab w:val="left" w:pos="-13938"/>
        </w:tabs>
        <w:ind w:left="1068"/>
        <w:rPr>
          <w:rFonts w:ascii="Garamond" w:hAnsi="Garamond"/>
          <w:szCs w:val="24"/>
        </w:rPr>
      </w:pPr>
    </w:p>
    <w:p w14:paraId="0C812A59" w14:textId="77777777" w:rsidR="002C6102" w:rsidRDefault="002C6102" w:rsidP="002C6102">
      <w:pPr>
        <w:pStyle w:val="Standard"/>
        <w:tabs>
          <w:tab w:val="left" w:pos="-14930"/>
          <w:tab w:val="left" w:pos="-13938"/>
        </w:tabs>
        <w:ind w:left="1068"/>
        <w:rPr>
          <w:rFonts w:ascii="Garamond" w:hAnsi="Garamond"/>
          <w:szCs w:val="24"/>
        </w:rPr>
      </w:pPr>
    </w:p>
    <w:p w14:paraId="36E3D4DA" w14:textId="53E82931"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Periodo ____________________________________________________________________</w:t>
      </w:r>
    </w:p>
    <w:p w14:paraId="5D697A46" w14:textId="77777777" w:rsidR="002C6102" w:rsidRDefault="002C6102" w:rsidP="002C6102">
      <w:pPr>
        <w:pStyle w:val="Standard"/>
        <w:tabs>
          <w:tab w:val="left" w:pos="-14930"/>
          <w:tab w:val="left" w:pos="-13938"/>
        </w:tabs>
        <w:ind w:left="1068"/>
        <w:rPr>
          <w:rFonts w:ascii="Garamond" w:hAnsi="Garamond"/>
          <w:szCs w:val="24"/>
        </w:rPr>
      </w:pPr>
    </w:p>
    <w:p w14:paraId="3284A96B" w14:textId="77777777"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Struttura educativa_________________________________________________________</w:t>
      </w:r>
    </w:p>
    <w:p w14:paraId="26644D7B" w14:textId="77777777" w:rsidR="002C6102" w:rsidRDefault="002C6102" w:rsidP="002C6102">
      <w:pPr>
        <w:pStyle w:val="Standard"/>
        <w:tabs>
          <w:tab w:val="left" w:pos="-14930"/>
          <w:tab w:val="left" w:pos="-13938"/>
        </w:tabs>
        <w:ind w:left="1068"/>
        <w:rPr>
          <w:rFonts w:ascii="Garamond" w:hAnsi="Garamond"/>
          <w:szCs w:val="24"/>
        </w:rPr>
      </w:pPr>
    </w:p>
    <w:p w14:paraId="70FD38D4" w14:textId="77777777"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Importo__________________________________________________________________</w:t>
      </w:r>
    </w:p>
    <w:p w14:paraId="3D7A125B" w14:textId="2C58E6E3" w:rsidR="002C6102" w:rsidRDefault="002C6102" w:rsidP="002C6102">
      <w:pPr>
        <w:pStyle w:val="Standard"/>
        <w:tabs>
          <w:tab w:val="left" w:pos="-14930"/>
          <w:tab w:val="left" w:pos="-13938"/>
        </w:tabs>
        <w:ind w:left="1068"/>
        <w:rPr>
          <w:rFonts w:ascii="Garamond" w:hAnsi="Garamond"/>
          <w:szCs w:val="24"/>
        </w:rPr>
      </w:pPr>
    </w:p>
    <w:p w14:paraId="699E4BA2" w14:textId="78C87664" w:rsidR="002C6102" w:rsidRDefault="002C6102" w:rsidP="002C6102">
      <w:pPr>
        <w:pStyle w:val="Standard"/>
        <w:tabs>
          <w:tab w:val="left" w:pos="-14930"/>
          <w:tab w:val="left" w:pos="-13938"/>
        </w:tabs>
        <w:ind w:left="1068"/>
        <w:rPr>
          <w:rFonts w:ascii="Garamond" w:hAnsi="Garamond"/>
          <w:szCs w:val="24"/>
        </w:rPr>
      </w:pPr>
    </w:p>
    <w:p w14:paraId="7933B0CA" w14:textId="77777777"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Periodo ____________________________________________________________________</w:t>
      </w:r>
    </w:p>
    <w:p w14:paraId="4F122F5E" w14:textId="77777777" w:rsidR="002C6102" w:rsidRDefault="002C6102" w:rsidP="002C6102">
      <w:pPr>
        <w:pStyle w:val="Standard"/>
        <w:tabs>
          <w:tab w:val="left" w:pos="-14930"/>
          <w:tab w:val="left" w:pos="-13938"/>
        </w:tabs>
        <w:ind w:left="1068"/>
        <w:rPr>
          <w:rFonts w:ascii="Garamond" w:hAnsi="Garamond"/>
          <w:szCs w:val="24"/>
        </w:rPr>
      </w:pPr>
    </w:p>
    <w:p w14:paraId="07AFF7E7" w14:textId="77777777"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Struttura educativa_________________________________________________________</w:t>
      </w:r>
    </w:p>
    <w:p w14:paraId="04C608BA" w14:textId="77777777" w:rsidR="002C6102" w:rsidRDefault="002C6102" w:rsidP="002C6102">
      <w:pPr>
        <w:pStyle w:val="Standard"/>
        <w:tabs>
          <w:tab w:val="left" w:pos="-14930"/>
          <w:tab w:val="left" w:pos="-13938"/>
        </w:tabs>
        <w:ind w:left="1068"/>
        <w:rPr>
          <w:rFonts w:ascii="Garamond" w:hAnsi="Garamond"/>
          <w:szCs w:val="24"/>
        </w:rPr>
      </w:pPr>
    </w:p>
    <w:p w14:paraId="3C4976B3" w14:textId="77777777" w:rsidR="002C6102" w:rsidRDefault="002C6102" w:rsidP="002C6102">
      <w:pPr>
        <w:pStyle w:val="Standard"/>
        <w:tabs>
          <w:tab w:val="left" w:pos="-14930"/>
          <w:tab w:val="left" w:pos="-13938"/>
        </w:tabs>
        <w:ind w:left="1068"/>
        <w:rPr>
          <w:rFonts w:ascii="Garamond" w:hAnsi="Garamond"/>
          <w:szCs w:val="24"/>
        </w:rPr>
      </w:pPr>
      <w:r>
        <w:rPr>
          <w:rFonts w:ascii="Garamond" w:hAnsi="Garamond"/>
          <w:szCs w:val="24"/>
        </w:rPr>
        <w:t>Importo__________________________________________________________________</w:t>
      </w:r>
    </w:p>
    <w:p w14:paraId="3D72D3CA" w14:textId="77777777" w:rsidR="002C6102" w:rsidRDefault="002C6102" w:rsidP="002C6102">
      <w:pPr>
        <w:pStyle w:val="Standard"/>
        <w:tabs>
          <w:tab w:val="left" w:pos="-14930"/>
          <w:tab w:val="left" w:pos="-13938"/>
        </w:tabs>
        <w:ind w:left="1068"/>
        <w:rPr>
          <w:rFonts w:ascii="Garamond" w:hAnsi="Garamond"/>
          <w:szCs w:val="24"/>
        </w:rPr>
      </w:pPr>
    </w:p>
    <w:p w14:paraId="57BC3968" w14:textId="77777777" w:rsidR="002C6102" w:rsidRPr="009D0A18" w:rsidRDefault="002C6102" w:rsidP="002E7E24">
      <w:pPr>
        <w:pStyle w:val="Standard"/>
        <w:tabs>
          <w:tab w:val="left" w:pos="-14930"/>
          <w:tab w:val="left" w:pos="-13938"/>
        </w:tabs>
        <w:ind w:left="1068"/>
        <w:rPr>
          <w:rFonts w:ascii="Garamond" w:hAnsi="Garamond"/>
          <w:szCs w:val="24"/>
        </w:rPr>
      </w:pPr>
    </w:p>
    <w:p w14:paraId="2D39F286" w14:textId="78E97DF4" w:rsidR="002E7E24" w:rsidRDefault="002E7E24" w:rsidP="002E7E24">
      <w:pPr>
        <w:pStyle w:val="Standard"/>
        <w:tabs>
          <w:tab w:val="left" w:pos="-15780"/>
          <w:tab w:val="left" w:pos="-14788"/>
        </w:tabs>
        <w:spacing w:line="360" w:lineRule="auto"/>
        <w:jc w:val="both"/>
        <w:rPr>
          <w:rFonts w:ascii="Garamond" w:hAnsi="Garamond"/>
          <w:szCs w:val="24"/>
        </w:rPr>
      </w:pPr>
      <w:r>
        <w:rPr>
          <w:rFonts w:ascii="Garamond" w:hAnsi="Garamond"/>
          <w:szCs w:val="24"/>
        </w:rPr>
        <w:tab/>
      </w:r>
    </w:p>
    <w:p w14:paraId="7452A3F3" w14:textId="2F1614B3" w:rsidR="002E7E24" w:rsidRPr="002C6102" w:rsidRDefault="002E7E24" w:rsidP="002E7E24">
      <w:pPr>
        <w:pStyle w:val="Standard"/>
        <w:tabs>
          <w:tab w:val="left" w:pos="-15780"/>
          <w:tab w:val="left" w:pos="-14788"/>
        </w:tabs>
        <w:spacing w:line="360" w:lineRule="auto"/>
        <w:jc w:val="both"/>
        <w:rPr>
          <w:rFonts w:ascii="Garamond" w:eastAsia="Tahoma" w:hAnsi="Garamond" w:cs="Tahoma"/>
          <w:b/>
          <w:bCs/>
          <w:szCs w:val="24"/>
        </w:rPr>
      </w:pPr>
      <w:r w:rsidRPr="002C6102">
        <w:rPr>
          <w:rFonts w:ascii="Garamond" w:hAnsi="Garamond"/>
          <w:b/>
          <w:bCs/>
          <w:szCs w:val="24"/>
        </w:rPr>
        <w:tab/>
      </w:r>
      <w:r w:rsidRPr="002C6102">
        <w:rPr>
          <w:rFonts w:ascii="Garamond" w:hAnsi="Garamond"/>
          <w:b/>
          <w:bCs/>
          <w:szCs w:val="24"/>
        </w:rPr>
        <w:tab/>
      </w:r>
      <w:r w:rsidRPr="002C6102">
        <w:rPr>
          <w:rFonts w:ascii="Garamond" w:eastAsia="Tahoma" w:hAnsi="Garamond" w:cs="Tahoma"/>
          <w:b/>
          <w:bCs/>
          <w:szCs w:val="24"/>
        </w:rPr>
        <w:t>REQUISITI DI CAPACITA’ TECNICA – ORGANIZZATIVA</w:t>
      </w:r>
    </w:p>
    <w:p w14:paraId="21688AA1" w14:textId="05B31366"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 xml:space="preserve">- </w:t>
      </w:r>
      <w:r w:rsidRPr="002E7E24">
        <w:rPr>
          <w:rFonts w:ascii="Garamond" w:eastAsia="Tahoma" w:hAnsi="Garamond" w:cs="Tahoma"/>
          <w:szCs w:val="24"/>
        </w:rPr>
        <w:t>essere in possesso delle certificazioni di qualità ritenute valide ai fini della qualifica del fornitore del servizio:</w:t>
      </w:r>
    </w:p>
    <w:p w14:paraId="429B04F3"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-certificazione di qualità ISO 9001 riferita sia all’azienda che alla cucina di riserva;</w:t>
      </w:r>
    </w:p>
    <w:p w14:paraId="5019BC89"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-certificazione ambientale ISO 14001 riferita sia all’azienda che alla cucina di riserva;</w:t>
      </w:r>
    </w:p>
    <w:p w14:paraId="0662C0F2"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-certificazione responsabilità sociale ed etica SA 8000;</w:t>
      </w:r>
    </w:p>
    <w:p w14:paraId="1590A9FB"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-certificazione ISO 37001 sistemi di gestione per la prevenzione della corruzione;</w:t>
      </w:r>
    </w:p>
    <w:p w14:paraId="69D5C026" w14:textId="165A2F59"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La comprova del requisito è fornita mediante un certificato di conformità. Tale documento deve essere rilasciato da un organismo di certificazione accreditato ai sensi della norma UNI CEI EN ISO/IEC 17021-1 per lo specifico settore e campo di applicazione richiesto, da un Ente nazionale unico di accreditamento firmatario degli accordi EA/MLA oppure autorizzato a norma dell’art. 5 paragrafo 2 del regolamento (CE) n.765/2008</w:t>
      </w:r>
      <w:r w:rsidR="006B559E">
        <w:rPr>
          <w:rFonts w:ascii="Garamond" w:eastAsia="Tahoma" w:hAnsi="Garamond" w:cs="Tahoma"/>
          <w:szCs w:val="24"/>
        </w:rPr>
        <w:t>, che viene allegato</w:t>
      </w:r>
    </w:p>
    <w:p w14:paraId="483953F6" w14:textId="0CDCAF2A" w:rsidR="002E7E24" w:rsidRDefault="002E7E24" w:rsidP="002E7E24">
      <w:pPr>
        <w:pStyle w:val="Standard"/>
        <w:numPr>
          <w:ilvl w:val="0"/>
          <w:numId w:val="39"/>
        </w:numPr>
        <w:tabs>
          <w:tab w:val="left" w:pos="-15780"/>
          <w:tab w:val="left" w:pos="-14788"/>
        </w:tabs>
        <w:spacing w:line="360" w:lineRule="auto"/>
        <w:jc w:val="both"/>
        <w:rPr>
          <w:rFonts w:ascii="Garamond" w:eastAsia="Tahoma" w:hAnsi="Garamond" w:cs="Tahoma"/>
          <w:szCs w:val="24"/>
        </w:rPr>
      </w:pPr>
      <w:r>
        <w:rPr>
          <w:rFonts w:ascii="Garamond" w:eastAsia="Tahoma" w:hAnsi="Garamond" w:cs="Tahoma"/>
          <w:szCs w:val="24"/>
        </w:rPr>
        <w:t>SI</w:t>
      </w:r>
    </w:p>
    <w:p w14:paraId="093893D6" w14:textId="4DCE5A6C" w:rsidR="002E7E24" w:rsidRPr="002E7E24" w:rsidRDefault="002E7E24" w:rsidP="002E7E24">
      <w:pPr>
        <w:pStyle w:val="Standard"/>
        <w:numPr>
          <w:ilvl w:val="0"/>
          <w:numId w:val="39"/>
        </w:numPr>
        <w:tabs>
          <w:tab w:val="left" w:pos="-15780"/>
          <w:tab w:val="left" w:pos="-14788"/>
        </w:tabs>
        <w:spacing w:line="360" w:lineRule="auto"/>
        <w:jc w:val="both"/>
        <w:rPr>
          <w:rFonts w:ascii="Garamond" w:eastAsia="Tahoma" w:hAnsi="Garamond" w:cs="Tahoma"/>
          <w:szCs w:val="24"/>
        </w:rPr>
      </w:pPr>
      <w:r>
        <w:rPr>
          <w:rFonts w:ascii="Garamond" w:eastAsia="Tahoma" w:hAnsi="Garamond" w:cs="Tahoma"/>
          <w:szCs w:val="24"/>
        </w:rPr>
        <w:t>NO</w:t>
      </w:r>
    </w:p>
    <w:p w14:paraId="5A56DC42" w14:textId="028AF8A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Pr>
          <w:rFonts w:ascii="Garamond" w:eastAsia="Tahoma" w:hAnsi="Garamond" w:cs="Tahoma"/>
          <w:szCs w:val="24"/>
        </w:rPr>
        <w:t xml:space="preserve">- </w:t>
      </w:r>
      <w:r w:rsidRPr="002E7E24">
        <w:rPr>
          <w:rFonts w:ascii="Garamond" w:eastAsia="Tahoma" w:hAnsi="Garamond" w:cs="Tahoma"/>
          <w:szCs w:val="24"/>
        </w:rPr>
        <w:t>attestare di avere la piena disponibilità (locazione o proprietà) entro 20 Km dalla struttura Nido d’infanzia comunale una cucina di riserva da utilizzarsi in caso di impossibilità all’utilizzo della cucina interna alla struttura, per la quale sia stata rilasciata la certificazione in conformità alla norma UNI EN ISO 9001 di sito (certificazione di sistema qualità riferita espressamente alla cucina d’emergenza) e ISO 14001 (certificazione ambientale riferita al centro pasti di emergenza) o impegnarsi ad attivare e rendere operativa una cucina di riserva con le medesime caratteristiche entro la decorrenza e per tutta la durata dell’appalto. Tale cucina dovrà possedere le seguenti caratteristiche:</w:t>
      </w:r>
    </w:p>
    <w:p w14:paraId="514CAC4A"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lastRenderedPageBreak/>
        <w:t>-essere munita di autorizzazione sanitaria specifica alla produzione di pasti in asporto per collettività intestata direttamente all’operatore economico concorrente. In caso di imprese riunite deve fare capo alla capogruppo;</w:t>
      </w:r>
    </w:p>
    <w:p w14:paraId="057A6455"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-avere capacità produttiva giornaliera residua (quindi libera e impegnabile) di almeno 55 pasti;</w:t>
      </w:r>
    </w:p>
    <w:p w14:paraId="4367D55D"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-essere dotata di adeguata zona di preparazione pasti e di un’adeguata zona di confezionamento per l’asporto;</w:t>
      </w:r>
    </w:p>
    <w:p w14:paraId="01712B61"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r w:rsidRPr="002E7E24">
        <w:rPr>
          <w:rFonts w:ascii="Garamond" w:eastAsia="Tahoma" w:hAnsi="Garamond" w:cs="Tahoma"/>
          <w:szCs w:val="24"/>
        </w:rPr>
        <w:t>-essere munita di impianti e attrezzature idonei alla produzione di pasti per collettività, secondo la vigente normativa;</w:t>
      </w:r>
    </w:p>
    <w:p w14:paraId="54FA97FA" w14:textId="77777777" w:rsidR="002E7E24" w:rsidRDefault="002E7E24" w:rsidP="002E7E24">
      <w:pPr>
        <w:pStyle w:val="Standard"/>
        <w:numPr>
          <w:ilvl w:val="0"/>
          <w:numId w:val="39"/>
        </w:numPr>
        <w:tabs>
          <w:tab w:val="left" w:pos="-15780"/>
          <w:tab w:val="left" w:pos="-14788"/>
        </w:tabs>
        <w:spacing w:line="360" w:lineRule="auto"/>
        <w:jc w:val="both"/>
        <w:rPr>
          <w:rFonts w:ascii="Garamond" w:eastAsia="Tahoma" w:hAnsi="Garamond" w:cs="Tahoma"/>
          <w:szCs w:val="24"/>
        </w:rPr>
      </w:pPr>
      <w:r>
        <w:rPr>
          <w:rFonts w:ascii="Garamond" w:eastAsia="Tahoma" w:hAnsi="Garamond" w:cs="Tahoma"/>
          <w:szCs w:val="24"/>
        </w:rPr>
        <w:t>SI</w:t>
      </w:r>
    </w:p>
    <w:p w14:paraId="2CA53913" w14:textId="77777777" w:rsidR="002E7E24" w:rsidRPr="002E7E24" w:rsidRDefault="002E7E24" w:rsidP="002E7E24">
      <w:pPr>
        <w:pStyle w:val="Standard"/>
        <w:numPr>
          <w:ilvl w:val="0"/>
          <w:numId w:val="39"/>
        </w:numPr>
        <w:tabs>
          <w:tab w:val="left" w:pos="-15780"/>
          <w:tab w:val="left" w:pos="-14788"/>
        </w:tabs>
        <w:spacing w:line="360" w:lineRule="auto"/>
        <w:jc w:val="both"/>
        <w:rPr>
          <w:rFonts w:ascii="Garamond" w:eastAsia="Tahoma" w:hAnsi="Garamond" w:cs="Tahoma"/>
          <w:szCs w:val="24"/>
        </w:rPr>
      </w:pPr>
      <w:r>
        <w:rPr>
          <w:rFonts w:ascii="Garamond" w:eastAsia="Tahoma" w:hAnsi="Garamond" w:cs="Tahoma"/>
          <w:szCs w:val="24"/>
        </w:rPr>
        <w:t>NO</w:t>
      </w:r>
    </w:p>
    <w:p w14:paraId="6D99CC80" w14:textId="77777777" w:rsidR="002E7E24" w:rsidRPr="002E7E24" w:rsidRDefault="002E7E24" w:rsidP="002E7E24">
      <w:pPr>
        <w:pStyle w:val="Standard"/>
        <w:tabs>
          <w:tab w:val="left" w:pos="-15780"/>
          <w:tab w:val="left" w:pos="-14788"/>
        </w:tabs>
        <w:spacing w:line="360" w:lineRule="auto"/>
        <w:ind w:left="1134"/>
        <w:jc w:val="both"/>
        <w:rPr>
          <w:rFonts w:ascii="Garamond" w:eastAsia="Tahoma" w:hAnsi="Garamond" w:cs="Tahoma"/>
          <w:szCs w:val="24"/>
        </w:rPr>
      </w:pPr>
    </w:p>
    <w:p w14:paraId="5012A3FE" w14:textId="554337BC" w:rsidR="002E7E24" w:rsidRDefault="002E7E24" w:rsidP="002C6102">
      <w:pPr>
        <w:pStyle w:val="Standard"/>
        <w:widowControl w:val="0"/>
        <w:numPr>
          <w:ilvl w:val="0"/>
          <w:numId w:val="20"/>
        </w:numPr>
        <w:tabs>
          <w:tab w:val="left" w:pos="-15780"/>
          <w:tab w:val="left" w:pos="-14788"/>
        </w:tabs>
        <w:spacing w:line="360" w:lineRule="auto"/>
        <w:jc w:val="both"/>
        <w:rPr>
          <w:rFonts w:ascii="Garamond" w:eastAsia="Tahoma" w:hAnsi="Garamond" w:cs="Tahoma"/>
          <w:szCs w:val="24"/>
        </w:rPr>
      </w:pPr>
      <w:r w:rsidRPr="002E7E24">
        <w:rPr>
          <w:rFonts w:ascii="Garamond" w:eastAsia="Tahoma" w:hAnsi="Garamond" w:cs="Tahoma"/>
          <w:szCs w:val="24"/>
        </w:rPr>
        <w:t>attestare di avere piena disponibilità (locazione o proprietà) di una piattaforma di stoccaggio e consegna delle materie prime con certificazione ambientale ISO 14001, ISO 22005 (rintracciabilità nelle filiere agroalimentari) e certificazione EPD (dichiarazione ambientale di prodotto di tipo III) o impegnarsi ad attivare e rendere operativa una piattaforma di stoccaggio e consegna delle materie prime con le medesime caratteristiche entro la decorrenza e per tutta la durata dell’appalto. Tale piattaforma non dovrà trovarsi ad una distanza superiore a 80 km tassativi e stradali dalla sede del Nido d’infanzia comunale;</w:t>
      </w:r>
      <w:r w:rsidR="000846D1" w:rsidRPr="000C5668">
        <w:rPr>
          <w:rFonts w:ascii="Garamond" w:eastAsia="Tahoma" w:hAnsi="Garamond" w:cs="Tahoma"/>
          <w:szCs w:val="24"/>
        </w:rPr>
        <w:t xml:space="preserve">      </w:t>
      </w:r>
    </w:p>
    <w:p w14:paraId="4BD489B8" w14:textId="77777777" w:rsidR="002E7E24" w:rsidRDefault="000846D1" w:rsidP="002E7E24">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p>
    <w:p w14:paraId="38941F92" w14:textId="6CA5A608" w:rsidR="003763B1" w:rsidRPr="000C5668" w:rsidRDefault="000846D1" w:rsidP="002E7E24">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NO       </w:t>
      </w:r>
    </w:p>
    <w:p w14:paraId="258BFB7B" w14:textId="77777777"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bookmarkEnd w:id="8"/>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 xml:space="preserve">_Dichiarazioni integrative al DGUE </w:t>
      </w:r>
      <w:r w:rsidR="00A34BA6" w:rsidRPr="000C5668">
        <w:rPr>
          <w:rFonts w:ascii="Garamond" w:eastAsia="Tahoma" w:hAnsi="Garamond" w:cs="Tahoma"/>
          <w:szCs w:val="24"/>
        </w:rPr>
        <w:lastRenderedPageBreak/>
        <w:t>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lastRenderedPageBreak/>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lastRenderedPageBreak/>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PMingLiU"/>
    <w:panose1 w:val="00000000000000000000"/>
    <w:charset w:val="88"/>
    <w:family w:val="auto"/>
    <w:notTrueType/>
    <w:pitch w:val="default"/>
    <w:sig w:usb0="00000003" w:usb1="08080000" w:usb2="00000010"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3"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6486F1F"/>
    <w:multiLevelType w:val="hybridMultilevel"/>
    <w:tmpl w:val="7BD03B6E"/>
    <w:lvl w:ilvl="0" w:tplc="FB98A1F6">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29"/>
  </w:num>
  <w:num w:numId="5">
    <w:abstractNumId w:val="12"/>
  </w:num>
  <w:num w:numId="6">
    <w:abstractNumId w:val="22"/>
  </w:num>
  <w:num w:numId="7">
    <w:abstractNumId w:val="27"/>
  </w:num>
  <w:num w:numId="8">
    <w:abstractNumId w:val="18"/>
  </w:num>
  <w:num w:numId="9">
    <w:abstractNumId w:val="14"/>
  </w:num>
  <w:num w:numId="10">
    <w:abstractNumId w:val="33"/>
  </w:num>
  <w:num w:numId="11">
    <w:abstractNumId w:val="3"/>
  </w:num>
  <w:num w:numId="12">
    <w:abstractNumId w:val="1"/>
  </w:num>
  <w:num w:numId="13">
    <w:abstractNumId w:val="8"/>
  </w:num>
  <w:num w:numId="14">
    <w:abstractNumId w:val="31"/>
  </w:num>
  <w:num w:numId="15">
    <w:abstractNumId w:val="15"/>
  </w:num>
  <w:num w:numId="16">
    <w:abstractNumId w:val="21"/>
  </w:num>
  <w:num w:numId="17">
    <w:abstractNumId w:val="32"/>
  </w:num>
  <w:num w:numId="18">
    <w:abstractNumId w:val="20"/>
  </w:num>
  <w:num w:numId="19">
    <w:abstractNumId w:val="35"/>
  </w:num>
  <w:num w:numId="20">
    <w:abstractNumId w:val="12"/>
  </w:num>
  <w:num w:numId="21">
    <w:abstractNumId w:val="4"/>
  </w:num>
  <w:num w:numId="22">
    <w:abstractNumId w:val="26"/>
  </w:num>
  <w:num w:numId="23">
    <w:abstractNumId w:val="5"/>
  </w:num>
  <w:num w:numId="24">
    <w:abstractNumId w:val="36"/>
  </w:num>
  <w:num w:numId="25">
    <w:abstractNumId w:val="7"/>
  </w:num>
  <w:num w:numId="26">
    <w:abstractNumId w:val="13"/>
  </w:num>
  <w:num w:numId="27">
    <w:abstractNumId w:val="28"/>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C0DD9"/>
    <w:rsid w:val="002C6102"/>
    <w:rsid w:val="002E7DF4"/>
    <w:rsid w:val="002E7E24"/>
    <w:rsid w:val="002F3520"/>
    <w:rsid w:val="002F5C88"/>
    <w:rsid w:val="00302BA5"/>
    <w:rsid w:val="0032006F"/>
    <w:rsid w:val="00327E87"/>
    <w:rsid w:val="00362EC7"/>
    <w:rsid w:val="003763B1"/>
    <w:rsid w:val="00386360"/>
    <w:rsid w:val="00387A12"/>
    <w:rsid w:val="0039065F"/>
    <w:rsid w:val="003A4B2C"/>
    <w:rsid w:val="003B1936"/>
    <w:rsid w:val="003B3755"/>
    <w:rsid w:val="003C1008"/>
    <w:rsid w:val="003C5EB5"/>
    <w:rsid w:val="003D3199"/>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B0E4B"/>
    <w:rsid w:val="005B11D5"/>
    <w:rsid w:val="005B39B0"/>
    <w:rsid w:val="005C0414"/>
    <w:rsid w:val="005E42C4"/>
    <w:rsid w:val="006028DB"/>
    <w:rsid w:val="00651BFC"/>
    <w:rsid w:val="006534C3"/>
    <w:rsid w:val="006B06F0"/>
    <w:rsid w:val="006B559E"/>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3BF6"/>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026D"/>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174AA"/>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3282</Words>
  <Characters>18712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40</cp:revision>
  <cp:lastPrinted>2020-06-25T07:27:00Z</cp:lastPrinted>
  <dcterms:created xsi:type="dcterms:W3CDTF">2020-04-28T09:38:00Z</dcterms:created>
  <dcterms:modified xsi:type="dcterms:W3CDTF">2021-07-12T13:22:00Z</dcterms:modified>
</cp:coreProperties>
</file>