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xmlns="">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bookmarkEnd w:id="0"/>
    <w:bookmarkEnd w:id="1"/>
    <w:bookmarkEnd w:id="2"/>
    <w:bookmarkEnd w:id="3"/>
    <w:bookmarkEnd w:id="4"/>
    <w:p w14:paraId="56467509" w14:textId="413E5599" w:rsidR="00257668" w:rsidRDefault="00257668" w:rsidP="00257668">
      <w:pPr>
        <w:jc w:val="both"/>
        <w:rPr>
          <w:rFonts w:ascii="Calibri Light" w:hAnsi="Calibri Light"/>
          <w:bCs/>
          <w:caps/>
          <w:sz w:val="24"/>
          <w:szCs w:val="24"/>
        </w:rPr>
      </w:pPr>
      <w:r w:rsidRPr="008916F2">
        <w:rPr>
          <w:rFonts w:ascii="Calibri Light" w:eastAsia="TimesNewRomanPS-BoldMT" w:hAnsi="Calibri Light" w:cs="TimesNewRomanPSMT"/>
          <w:b/>
          <w:sz w:val="24"/>
          <w:szCs w:val="24"/>
          <w:lang w:eastAsia="it-IT"/>
        </w:rPr>
        <w:t xml:space="preserve">PROCEDURA </w:t>
      </w:r>
      <w:r w:rsidRPr="008916F2">
        <w:rPr>
          <w:rFonts w:ascii="Calibri Light" w:eastAsia="Microsoft YaHei UI" w:hAnsi="Calibri Light" w:cs="DilleniaUPC"/>
          <w:b/>
          <w:sz w:val="24"/>
          <w:szCs w:val="24"/>
          <w:lang w:eastAsia="ar-SA"/>
        </w:rPr>
        <w:t xml:space="preserve">NEGOZIATA SENZA BANDO RELATIVA ALL’APPALTO DI SOLA ESECUZIONE, AI SENSI DELL’ART. 1, COMMA 2, LETT. B) DELLA LEGGE 120/20, RIGUARDANTE I </w:t>
      </w:r>
      <w:r w:rsidRPr="008916F2">
        <w:rPr>
          <w:rFonts w:ascii="Calibri Light" w:hAnsi="Calibri Light"/>
          <w:b/>
          <w:caps/>
          <w:sz w:val="24"/>
          <w:szCs w:val="24"/>
          <w:lang w:eastAsia="ar-SA"/>
        </w:rPr>
        <w:t xml:space="preserve">lavori di </w:t>
      </w:r>
      <w:r w:rsidRPr="008916F2">
        <w:rPr>
          <w:rFonts w:ascii="Calibri Light" w:hAnsi="Calibri Light"/>
          <w:b/>
          <w:bCs/>
          <w:caps/>
          <w:sz w:val="24"/>
          <w:szCs w:val="24"/>
        </w:rPr>
        <w:t>REALIZZAZIONE CICLOPEDONALE SALVARANO - MONTECAVOLO III STRALCIO</w:t>
      </w:r>
      <w:r w:rsidRPr="008916F2">
        <w:rPr>
          <w:rFonts w:ascii="Calibri Light" w:hAnsi="Calibri Light"/>
          <w:bCs/>
          <w:caps/>
          <w:sz w:val="24"/>
          <w:szCs w:val="24"/>
        </w:rPr>
        <w:t xml:space="preserve">. </w:t>
      </w:r>
    </w:p>
    <w:p w14:paraId="0F66A73A" w14:textId="702A0AF9" w:rsidR="00DC1959" w:rsidRDefault="00DC1959" w:rsidP="00257668">
      <w:pPr>
        <w:jc w:val="both"/>
        <w:rPr>
          <w:rFonts w:ascii="Calibri Light" w:hAnsi="Calibri Light"/>
          <w:bCs/>
          <w:caps/>
          <w:sz w:val="24"/>
          <w:szCs w:val="24"/>
        </w:rPr>
      </w:pPr>
    </w:p>
    <w:p w14:paraId="3A9C83AA" w14:textId="77777777" w:rsidR="00DC1959" w:rsidRPr="00DC1959" w:rsidRDefault="00DC1959" w:rsidP="00DC1959">
      <w:pPr>
        <w:jc w:val="both"/>
        <w:rPr>
          <w:rFonts w:ascii="Calibri Light" w:hAnsi="Calibri Light"/>
          <w:sz w:val="24"/>
          <w:szCs w:val="24"/>
          <w:lang w:eastAsia="ar-SA"/>
        </w:rPr>
      </w:pPr>
      <w:r w:rsidRPr="00DC1959">
        <w:rPr>
          <w:rFonts w:ascii="Calibri Light" w:hAnsi="Calibri Light"/>
          <w:sz w:val="24"/>
          <w:szCs w:val="24"/>
          <w:lang w:eastAsia="ar-SA"/>
        </w:rPr>
        <w:t>CIG: 87717179DA</w:t>
      </w:r>
    </w:p>
    <w:p w14:paraId="2173DEFC" w14:textId="77777777" w:rsidR="00DC1959" w:rsidRPr="00DC1959" w:rsidRDefault="00DC1959" w:rsidP="00DC1959">
      <w:pPr>
        <w:jc w:val="both"/>
        <w:rPr>
          <w:rFonts w:ascii="Calibri Light" w:hAnsi="Calibri Light"/>
          <w:sz w:val="24"/>
          <w:szCs w:val="24"/>
          <w:lang w:eastAsia="ar-SA"/>
        </w:rPr>
      </w:pPr>
      <w:r w:rsidRPr="00DC1959">
        <w:rPr>
          <w:rFonts w:ascii="Calibri Light" w:hAnsi="Calibri Light"/>
          <w:sz w:val="24"/>
          <w:szCs w:val="24"/>
          <w:lang w:eastAsia="ar-SA"/>
        </w:rPr>
        <w:t>CUP: C51B20000000002</w:t>
      </w:r>
    </w:p>
    <w:p w14:paraId="17F3E76C" w14:textId="753E354C" w:rsidR="00DC1959" w:rsidRPr="008916F2" w:rsidRDefault="00DC1959" w:rsidP="00DC1959">
      <w:pPr>
        <w:jc w:val="both"/>
        <w:rPr>
          <w:rFonts w:ascii="Calibri Light" w:hAnsi="Calibri Light"/>
          <w:sz w:val="24"/>
          <w:szCs w:val="24"/>
          <w:lang w:eastAsia="ar-SA"/>
        </w:rPr>
      </w:pPr>
      <w:r w:rsidRPr="00DC1959">
        <w:rPr>
          <w:rFonts w:ascii="Calibri Light" w:hAnsi="Calibri Light"/>
          <w:sz w:val="24"/>
          <w:szCs w:val="24"/>
          <w:lang w:eastAsia="ar-SA"/>
        </w:rPr>
        <w:t>CPV: 45233162-2 - Lavori di costruzione di piste ciclabili</w:t>
      </w:r>
    </w:p>
    <w:p w14:paraId="6804CB69" w14:textId="77777777" w:rsidR="00257668" w:rsidRDefault="00257668" w:rsidP="00257668">
      <w:pPr>
        <w:jc w:val="both"/>
        <w:rPr>
          <w:rFonts w:ascii="Calibri Light" w:eastAsia="Microsoft YaHei UI" w:hAnsi="Calibri Light" w:cs="DilleniaUPC"/>
          <w:caps/>
          <w:sz w:val="24"/>
          <w:szCs w:val="24"/>
          <w:lang w:eastAsia="ar-SA"/>
        </w:rPr>
      </w:pPr>
    </w:p>
    <w:p w14:paraId="7147EBC8" w14:textId="77777777"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5"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Prov.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5"/>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xmlns="">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xmlns="">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xmlns="">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w:t>
      </w:r>
      <w:r w:rsidRPr="000C5668">
        <w:rPr>
          <w:rFonts w:ascii="Garamond" w:hAnsi="Garamond" w:cs="Tahoma"/>
          <w:szCs w:val="24"/>
          <w:lang w:eastAsia="it-IT"/>
        </w:rPr>
        <w:lastRenderedPageBreak/>
        <w:t xml:space="preserve">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xmlns="">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xmlns="">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w:t>
      </w:r>
      <w:proofErr w:type="gramStart"/>
      <w:r w:rsidRPr="000C5668">
        <w:rPr>
          <w:rFonts w:ascii="Garamond" w:eastAsia="Tahoma" w:hAnsi="Garamond" w:cs="Tahoma"/>
          <w:szCs w:val="24"/>
        </w:rPr>
        <w:t xml:space="preserve">condannate:  </w:t>
      </w:r>
      <w:r w:rsidR="00987A48" w:rsidRPr="000C5668">
        <w:rPr>
          <w:rFonts w:ascii="Garamond" w:eastAsia="Tahoma" w:hAnsi="Garamond" w:cs="Tahoma"/>
          <w:szCs w:val="24"/>
        </w:rPr>
        <w:t>_</w:t>
      </w:r>
      <w:proofErr w:type="gramEnd"/>
      <w:r w:rsidR="00987A48" w:rsidRPr="000C5668">
        <w:rPr>
          <w:rFonts w:ascii="Garamond" w:eastAsia="Tahoma" w:hAnsi="Garamond" w:cs="Tahoma"/>
          <w:szCs w:val="24"/>
        </w:rPr>
        <w:t>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bookmarkStart w:id="6" w:name="_Hlk72481859"/>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58EF6C0D" w:rsidR="00466A8E" w:rsidRPr="000C5668" w:rsidRDefault="002B4F54"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b) sia stato sottoposto a fallimento o si trovi in stato di liquidazione coatta o di concordato preventivo o sia in corso nei suoi confronti un procedimento per la dichiarazione di </w:t>
      </w:r>
      <w:r w:rsidR="00466A8E" w:rsidRPr="000C5668">
        <w:rPr>
          <w:rFonts w:ascii="Garamond" w:eastAsia="Tahoma" w:hAnsi="Garamond" w:cs="Tahoma"/>
          <w:kern w:val="3"/>
          <w:sz w:val="24"/>
          <w:szCs w:val="24"/>
        </w:rPr>
        <w:lastRenderedPageBreak/>
        <w:t>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66FF5150"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00466A8E"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264823F"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00466A8E"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00466A8E"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00466A8E"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00466A8E"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00466A8E"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53225FBC"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proofErr w:type="gramStart"/>
      <w:r>
        <w:rPr>
          <w:rFonts w:ascii="Garamond" w:eastAsia="Tahoma" w:hAnsi="Garamond" w:cs="Tahoma"/>
          <w:kern w:val="3"/>
          <w:sz w:val="24"/>
          <w:szCs w:val="24"/>
        </w:rPr>
        <w:t xml:space="preserve">5  </w:t>
      </w:r>
      <w:r w:rsidR="00466A8E" w:rsidRPr="000C5668">
        <w:rPr>
          <w:rFonts w:ascii="Garamond" w:eastAsia="Tahoma" w:hAnsi="Garamond" w:cs="Tahoma"/>
          <w:kern w:val="3"/>
          <w:sz w:val="24"/>
          <w:szCs w:val="24"/>
        </w:rPr>
        <w:t>Lett.</w:t>
      </w:r>
      <w:proofErr w:type="gramEnd"/>
      <w:r w:rsidR="00466A8E" w:rsidRPr="000C5668">
        <w:rPr>
          <w:rFonts w:ascii="Garamond" w:eastAsia="Tahoma" w:hAnsi="Garamond" w:cs="Tahoma"/>
          <w:kern w:val="3"/>
          <w:sz w:val="24"/>
          <w:szCs w:val="24"/>
        </w:rPr>
        <w:t xml:space="preserve"> c-ter) ha dimostrato significative </w:t>
      </w:r>
      <w:r w:rsidR="008B1AA0" w:rsidRPr="000C5668">
        <w:rPr>
          <w:rFonts w:ascii="Garamond" w:eastAsia="Tahoma" w:hAnsi="Garamond" w:cs="Tahoma"/>
          <w:kern w:val="3"/>
          <w:sz w:val="24"/>
          <w:szCs w:val="24"/>
        </w:rPr>
        <w:t>o persist</w:t>
      </w:r>
      <w:r w:rsidR="00466A8E"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00466A8E"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00466A8E"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1A836CC8" w:rsidR="00F63530" w:rsidRPr="000C5668" w:rsidRDefault="002B4F54"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F63530"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3C81A0F4" w:rsidR="004A5790" w:rsidRDefault="002B4F54"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kern w:val="3"/>
          <w:sz w:val="24"/>
          <w:szCs w:val="24"/>
        </w:rPr>
        <w:t xml:space="preserve">Comma 5 </w:t>
      </w:r>
      <w:r w:rsidR="004A5790" w:rsidRPr="00881571">
        <w:rPr>
          <w:rFonts w:ascii="Times New Roman" w:eastAsia="Tahoma" w:hAnsi="Times New Roman" w:cs="Calibri Light"/>
          <w:sz w:val="24"/>
          <w:szCs w:val="24"/>
        </w:rPr>
        <w:t>f</w:t>
      </w:r>
      <w:r w:rsidR="004A5790"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004A5790"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659BAF07" w:rsidR="00A811CD" w:rsidRPr="000C5668" w:rsidRDefault="002B4F54" w:rsidP="00987A48">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008B1AA0"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4AB25422" w:rsidR="008B1AA0" w:rsidRPr="000C5668" w:rsidRDefault="002B4F54" w:rsidP="003F6C76">
      <w:pPr>
        <w:pStyle w:val="Standard"/>
        <w:widowControl w:val="0"/>
        <w:tabs>
          <w:tab w:val="left" w:pos="-14476"/>
          <w:tab w:val="left" w:pos="-13484"/>
        </w:tabs>
        <w:spacing w:line="276" w:lineRule="auto"/>
        <w:ind w:left="1304"/>
        <w:jc w:val="both"/>
        <w:rPr>
          <w:rFonts w:ascii="Garamond" w:eastAsia="Tahoma" w:hAnsi="Garamond" w:cs="Tahoma"/>
          <w:szCs w:val="24"/>
        </w:rPr>
      </w:pPr>
      <w:r>
        <w:rPr>
          <w:rFonts w:ascii="Garamond" w:eastAsia="Tahoma" w:hAnsi="Garamond" w:cs="Tahoma"/>
          <w:szCs w:val="24"/>
        </w:rPr>
        <w:t>Comma 5</w:t>
      </w:r>
      <w:r w:rsidR="002F3520"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xmlns="">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Pr>
          <w:rFonts w:ascii="Garamond" w:eastAsia="Tahoma" w:hAnsi="Garamond" w:cs="Tahoma"/>
          <w:szCs w:val="24"/>
        </w:rPr>
        <w:t xml:space="preserve"> </w:t>
      </w:r>
      <w:r w:rsidR="008B1AA0" w:rsidRPr="000C5668">
        <w:rPr>
          <w:rFonts w:ascii="Garamond" w:eastAsia="Tahoma" w:hAnsi="Garamond" w:cs="Tahoma"/>
          <w:szCs w:val="24"/>
        </w:rPr>
        <w:t xml:space="preserve">Lett. f-ter) </w:t>
      </w:r>
      <w:r w:rsidR="002F3520"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002F3520" w:rsidRPr="000C5668">
        <w:rPr>
          <w:rFonts w:ascii="Garamond" w:eastAsia="Tahoma" w:hAnsi="Garamond" w:cs="Tahoma"/>
          <w:szCs w:val="24"/>
        </w:rPr>
        <w:t xml:space="preserve">? </w:t>
      </w:r>
    </w:p>
    <w:bookmarkEnd w:id="6"/>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xmlns="">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w:t>
      </w:r>
      <w:r w:rsidRPr="000C5668">
        <w:rPr>
          <w:rFonts w:ascii="Garamond" w:hAnsi="Garamond" w:cstheme="minorHAnsi"/>
        </w:rPr>
        <w:lastRenderedPageBreak/>
        <w:t xml:space="preserve">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27131096" w14:textId="67F1DF1E"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Con riferimento ai requisiti specifici richiesti per l’esecuzione dell’appalto in oggetto (barrare le caselle che interessano e completare laddove richiesto):</w:t>
      </w:r>
    </w:p>
    <w:p w14:paraId="2170016B" w14:textId="136D45CD" w:rsidR="00096F49" w:rsidRDefault="00096F49" w:rsidP="00096F49">
      <w:pPr>
        <w:pStyle w:val="Standard"/>
        <w:tabs>
          <w:tab w:val="left" w:pos="-31226"/>
        </w:tabs>
        <w:ind w:left="454"/>
        <w:jc w:val="both"/>
        <w:rPr>
          <w:rFonts w:ascii="Garamond" w:eastAsia="Tahoma" w:hAnsi="Garamond" w:cs="Tahoma"/>
          <w:bCs/>
          <w:szCs w:val="24"/>
        </w:rPr>
      </w:pPr>
    </w:p>
    <w:p w14:paraId="621B760E" w14:textId="23E51B35" w:rsidR="00257668" w:rsidRDefault="00257668" w:rsidP="00257668">
      <w:pPr>
        <w:pStyle w:val="Standard"/>
        <w:numPr>
          <w:ilvl w:val="0"/>
          <w:numId w:val="40"/>
        </w:numPr>
        <w:tabs>
          <w:tab w:val="left" w:pos="-31226"/>
        </w:tabs>
        <w:jc w:val="both"/>
        <w:rPr>
          <w:rFonts w:ascii="Garamond" w:eastAsia="Tahoma" w:hAnsi="Garamond" w:cs="Tahoma"/>
          <w:bCs/>
          <w:szCs w:val="24"/>
        </w:rPr>
      </w:pPr>
      <w:r w:rsidRPr="00257668">
        <w:rPr>
          <w:rFonts w:ascii="Garamond" w:eastAsia="Tahoma" w:hAnsi="Garamond" w:cs="Tahoma"/>
          <w:bCs/>
          <w:szCs w:val="24"/>
        </w:rPr>
        <w:t xml:space="preserve">essere in possesso di </w:t>
      </w:r>
      <w:bookmarkStart w:id="7" w:name="_Hlk72921456"/>
      <w:r w:rsidRPr="00257668">
        <w:rPr>
          <w:rFonts w:ascii="Garamond" w:eastAsia="Tahoma" w:hAnsi="Garamond" w:cs="Tahoma"/>
          <w:bCs/>
          <w:szCs w:val="24"/>
        </w:rPr>
        <w:t xml:space="preserve">attestazione, rilasciata da società organismo di attestazione (SOA) regolarmente autorizzata, in corso di validità, che documenti, ai sensi degli artt. 84 del Codice e 61 del DPR 207/2010, la qualificazione nella categoria OG3 - STRADE, AUTOSTRADE, PONTI, VIADOTTI, FERROVIE, LINEE TRANVIARIE, METROPOLITANE, FUNICOLARI, E PISTE AEROPORTUALI, E RELATIVE OPERE COMPLEMENTARI, con classifica adeguata ai lavori da assumere (CLASSIFICA almeno </w:t>
      </w:r>
      <w:proofErr w:type="spellStart"/>
      <w:r w:rsidRPr="00257668">
        <w:rPr>
          <w:rFonts w:ascii="Garamond" w:eastAsia="Tahoma" w:hAnsi="Garamond" w:cs="Tahoma"/>
          <w:bCs/>
          <w:szCs w:val="24"/>
        </w:rPr>
        <w:t>Ia</w:t>
      </w:r>
      <w:proofErr w:type="spellEnd"/>
      <w:r w:rsidRPr="00257668">
        <w:rPr>
          <w:rFonts w:ascii="Garamond" w:eastAsia="Tahoma" w:hAnsi="Garamond" w:cs="Tahoma"/>
          <w:bCs/>
          <w:szCs w:val="24"/>
        </w:rPr>
        <w:t>). (In applicazione dell'art 216, comma 14 del Codice, in attesa dell'adozione delle linee guida ANAC di cui all'art 83, comma 2, secondo periodo, per la presente procedura si applicano le disposizioni di cui alla Parte II Titolo III e relativi allegati del DPR 207/2010).</w:t>
      </w:r>
    </w:p>
    <w:p w14:paraId="27517D8C" w14:textId="7C4A2DA9" w:rsidR="00257668" w:rsidRDefault="00257668" w:rsidP="00257668">
      <w:pPr>
        <w:pStyle w:val="Standard"/>
        <w:tabs>
          <w:tab w:val="left" w:pos="-31226"/>
        </w:tabs>
        <w:ind w:left="1174"/>
        <w:jc w:val="both"/>
        <w:rPr>
          <w:rFonts w:ascii="Garamond" w:eastAsia="Tahoma" w:hAnsi="Garamond" w:cs="Tahoma"/>
          <w:bCs/>
          <w:szCs w:val="24"/>
        </w:rPr>
      </w:pPr>
    </w:p>
    <w:bookmarkEnd w:id="7"/>
    <w:p w14:paraId="44C6A960" w14:textId="5D5ECE0E"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Si</w:t>
      </w:r>
    </w:p>
    <w:p w14:paraId="6F7E69EC" w14:textId="75CDA3DC"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No</w:t>
      </w:r>
    </w:p>
    <w:p w14:paraId="312DCA9C" w14:textId="77777777" w:rsidR="00257668" w:rsidRPr="00096F49" w:rsidRDefault="00257668" w:rsidP="00257668">
      <w:pPr>
        <w:pStyle w:val="Standard"/>
        <w:tabs>
          <w:tab w:val="left" w:pos="-31226"/>
        </w:tabs>
        <w:ind w:left="1894"/>
        <w:jc w:val="both"/>
        <w:rPr>
          <w:rFonts w:ascii="Garamond" w:eastAsia="Tahoma" w:hAnsi="Garamond" w:cs="Tahoma"/>
          <w:bCs/>
          <w:szCs w:val="24"/>
        </w:rPr>
      </w:pPr>
    </w:p>
    <w:p w14:paraId="057A8625" w14:textId="77777777" w:rsidR="00096F49" w:rsidRPr="00096F49" w:rsidRDefault="00096F49" w:rsidP="00096F49">
      <w:pPr>
        <w:pStyle w:val="Standard"/>
        <w:tabs>
          <w:tab w:val="left" w:pos="-31226"/>
        </w:tabs>
        <w:ind w:left="454"/>
        <w:jc w:val="both"/>
        <w:rPr>
          <w:rFonts w:ascii="Garamond" w:eastAsia="Tahoma" w:hAnsi="Garamond" w:cs="Tahoma"/>
          <w:b/>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proofErr w:type="gramStart"/>
      <w:r w:rsidRPr="000C5668">
        <w:rPr>
          <w:rFonts w:ascii="Garamond" w:eastAsia="Tahoma" w:hAnsi="Garamond" w:cs="Tahoma"/>
          <w:b/>
          <w:szCs w:val="24"/>
        </w:rPr>
        <w:t>)?</w:t>
      </w:r>
      <w:r w:rsidRPr="000C5668">
        <w:rPr>
          <w:rFonts w:ascii="Garamond" w:eastAsia="Tahoma" w:hAnsi="Garamond" w:cs="Tahoma"/>
          <w:szCs w:val="24"/>
        </w:rPr>
        <w:t>:</w:t>
      </w:r>
      <w:proofErr w:type="gramEnd"/>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xmlns="">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 xml:space="preserve">1: Il contratto di </w:t>
      </w:r>
      <w:proofErr w:type="gramStart"/>
      <w:r w:rsidR="004A5790">
        <w:rPr>
          <w:rFonts w:ascii="Garamond" w:eastAsia="Tahoma" w:hAnsi="Garamond" w:cs="Tahoma"/>
          <w:szCs w:val="24"/>
        </w:rPr>
        <w:t>avvalimento:</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xmlns="">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w:t>
      </w:r>
      <w:proofErr w:type="gramStart"/>
      <w:r w:rsidR="004A5790">
        <w:rPr>
          <w:rFonts w:ascii="Garamond" w:eastAsia="Tahoma" w:hAnsi="Garamond" w:cs="Tahoma"/>
          <w:szCs w:val="24"/>
        </w:rPr>
        <w:t xml:space="preserve">dell’ausiliaria:  </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xmlns="">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w:t>
      </w:r>
      <w:proofErr w:type="gramStart"/>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proofErr w:type="gramStart"/>
      <w:r w:rsidR="002F3520" w:rsidRPr="000C5668">
        <w:rPr>
          <w:rFonts w:ascii="Garamond" w:hAnsi="Garamond"/>
          <w:szCs w:val="24"/>
        </w:rPr>
        <w:t>)</w:t>
      </w:r>
      <w:r w:rsidR="002F3520" w:rsidRPr="000C5668">
        <w:rPr>
          <w:rFonts w:ascii="Garamond" w:eastAsia="Tahoma" w:hAnsi="Garamond" w:cs="Tahoma"/>
          <w:szCs w:val="24"/>
        </w:rPr>
        <w:t xml:space="preserve">:   </w:t>
      </w:r>
      <w:proofErr w:type="gramEnd"/>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lastRenderedPageBreak/>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bookmarkStart w:id="8" w:name="_Hlk72482095"/>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w:t>
      </w:r>
      <w:proofErr w:type="gramStart"/>
      <w:r w:rsidRPr="00717EBB">
        <w:rPr>
          <w:rFonts w:ascii="Garamond" w:hAnsi="Garamond"/>
          <w:sz w:val="24"/>
          <w:szCs w:val="24"/>
        </w:rPr>
        <w:t>obbligarsi  a</w:t>
      </w:r>
      <w:proofErr w:type="gramEnd"/>
      <w:r w:rsidRPr="00717EBB">
        <w:rPr>
          <w:rFonts w:ascii="Garamond" w:hAnsi="Garamond"/>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w:t>
      </w:r>
      <w:proofErr w:type="gramStart"/>
      <w:r w:rsidRPr="00717EBB">
        <w:rPr>
          <w:rFonts w:ascii="Garamond" w:hAnsi="Garamond"/>
          <w:sz w:val="24"/>
          <w:szCs w:val="24"/>
        </w:rPr>
        <w:t>E'</w:t>
      </w:r>
      <w:proofErr w:type="gramEnd"/>
      <w:r w:rsidRPr="00717EBB">
        <w:rPr>
          <w:rFonts w:ascii="Garamond" w:hAnsi="Garamond"/>
          <w:sz w:val="24"/>
          <w:szCs w:val="24"/>
        </w:rPr>
        <w:t xml:space="preserv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xmlns="">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xmlns="">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 xml:space="preserve">indica, ad integrazione di quanto indicato nella parte III, sez. C, lett. d) del DGUE, i seguenti estremi del provvedimento di ammissione al </w:t>
      </w:r>
      <w:r w:rsidRPr="000C5668">
        <w:rPr>
          <w:rFonts w:ascii="Garamond" w:hAnsi="Garamond"/>
          <w:szCs w:val="24"/>
        </w:rPr>
        <w:lastRenderedPageBreak/>
        <w:t>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w:t>
      </w:r>
      <w:proofErr w:type="gramStart"/>
      <w:r w:rsidRPr="000C5668">
        <w:rPr>
          <w:rFonts w:ascii="Garamond" w:eastAsia="Tahoma" w:hAnsi="Garamond" w:cs="Tahoma"/>
          <w:bCs/>
          <w:szCs w:val="24"/>
        </w:rPr>
        <w:t>…….</w:t>
      </w:r>
      <w:proofErr w:type="gramEnd"/>
      <w:r w:rsidRPr="000C5668">
        <w:rPr>
          <w:rFonts w:ascii="Garamond" w:eastAsia="Tahoma" w:hAnsi="Garamond" w:cs="Tahoma"/>
          <w:bCs/>
          <w:szCs w:val="24"/>
        </w:rPr>
        <w:t>;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bookmarkEnd w:id="8"/>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bookmarkStart w:id="9" w:name="_Hlk72482190"/>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bookmarkStart w:id="10" w:name="_Hlk72482172"/>
      <w:bookmarkEnd w:id="9"/>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bookmarkEnd w:id="10"/>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706306"/>
    <w:multiLevelType w:val="hybridMultilevel"/>
    <w:tmpl w:val="09CAC97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4342E39"/>
    <w:multiLevelType w:val="hybridMultilevel"/>
    <w:tmpl w:val="E82A141A"/>
    <w:lvl w:ilvl="0" w:tplc="04100003">
      <w:start w:val="1"/>
      <w:numFmt w:val="bullet"/>
      <w:lvlText w:val="o"/>
      <w:lvlJc w:val="left"/>
      <w:pPr>
        <w:ind w:left="1174" w:hanging="360"/>
      </w:pPr>
      <w:rPr>
        <w:rFonts w:ascii="Courier New" w:hAnsi="Courier New" w:cs="Courier New"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34784"/>
    <w:multiLevelType w:val="hybridMultilevel"/>
    <w:tmpl w:val="947AB036"/>
    <w:lvl w:ilvl="0" w:tplc="BECC49A4">
      <w:start w:val="1"/>
      <w:numFmt w:val="bullet"/>
      <w:lvlText w:val=""/>
      <w:lvlJc w:val="left"/>
      <w:pPr>
        <w:ind w:left="1894" w:hanging="360"/>
      </w:pPr>
      <w:rPr>
        <w:rFonts w:ascii="Symbol" w:hAnsi="Symbol" w:hint="default"/>
      </w:rPr>
    </w:lvl>
    <w:lvl w:ilvl="1" w:tplc="04100003" w:tentative="1">
      <w:start w:val="1"/>
      <w:numFmt w:val="bullet"/>
      <w:lvlText w:val="o"/>
      <w:lvlJc w:val="left"/>
      <w:pPr>
        <w:ind w:left="2614" w:hanging="360"/>
      </w:pPr>
      <w:rPr>
        <w:rFonts w:ascii="Courier New" w:hAnsi="Courier New" w:cs="Courier New" w:hint="default"/>
      </w:rPr>
    </w:lvl>
    <w:lvl w:ilvl="2" w:tplc="04100005" w:tentative="1">
      <w:start w:val="1"/>
      <w:numFmt w:val="bullet"/>
      <w:lvlText w:val=""/>
      <w:lvlJc w:val="left"/>
      <w:pPr>
        <w:ind w:left="3334" w:hanging="360"/>
      </w:pPr>
      <w:rPr>
        <w:rFonts w:ascii="Wingdings" w:hAnsi="Wingdings" w:hint="default"/>
      </w:rPr>
    </w:lvl>
    <w:lvl w:ilvl="3" w:tplc="04100001" w:tentative="1">
      <w:start w:val="1"/>
      <w:numFmt w:val="bullet"/>
      <w:lvlText w:val=""/>
      <w:lvlJc w:val="left"/>
      <w:pPr>
        <w:ind w:left="4054" w:hanging="360"/>
      </w:pPr>
      <w:rPr>
        <w:rFonts w:ascii="Symbol" w:hAnsi="Symbol" w:hint="default"/>
      </w:rPr>
    </w:lvl>
    <w:lvl w:ilvl="4" w:tplc="04100003" w:tentative="1">
      <w:start w:val="1"/>
      <w:numFmt w:val="bullet"/>
      <w:lvlText w:val="o"/>
      <w:lvlJc w:val="left"/>
      <w:pPr>
        <w:ind w:left="4774" w:hanging="360"/>
      </w:pPr>
      <w:rPr>
        <w:rFonts w:ascii="Courier New" w:hAnsi="Courier New" w:cs="Courier New" w:hint="default"/>
      </w:rPr>
    </w:lvl>
    <w:lvl w:ilvl="5" w:tplc="04100005" w:tentative="1">
      <w:start w:val="1"/>
      <w:numFmt w:val="bullet"/>
      <w:lvlText w:val=""/>
      <w:lvlJc w:val="left"/>
      <w:pPr>
        <w:ind w:left="5494" w:hanging="360"/>
      </w:pPr>
      <w:rPr>
        <w:rFonts w:ascii="Wingdings" w:hAnsi="Wingdings" w:hint="default"/>
      </w:rPr>
    </w:lvl>
    <w:lvl w:ilvl="6" w:tplc="04100001" w:tentative="1">
      <w:start w:val="1"/>
      <w:numFmt w:val="bullet"/>
      <w:lvlText w:val=""/>
      <w:lvlJc w:val="left"/>
      <w:pPr>
        <w:ind w:left="6214" w:hanging="360"/>
      </w:pPr>
      <w:rPr>
        <w:rFonts w:ascii="Symbol" w:hAnsi="Symbol" w:hint="default"/>
      </w:rPr>
    </w:lvl>
    <w:lvl w:ilvl="7" w:tplc="04100003" w:tentative="1">
      <w:start w:val="1"/>
      <w:numFmt w:val="bullet"/>
      <w:lvlText w:val="o"/>
      <w:lvlJc w:val="left"/>
      <w:pPr>
        <w:ind w:left="6934" w:hanging="360"/>
      </w:pPr>
      <w:rPr>
        <w:rFonts w:ascii="Courier New" w:hAnsi="Courier New" w:cs="Courier New" w:hint="default"/>
      </w:rPr>
    </w:lvl>
    <w:lvl w:ilvl="8" w:tplc="04100005" w:tentative="1">
      <w:start w:val="1"/>
      <w:numFmt w:val="bullet"/>
      <w:lvlText w:val=""/>
      <w:lvlJc w:val="left"/>
      <w:pPr>
        <w:ind w:left="7654" w:hanging="360"/>
      </w:pPr>
      <w:rPr>
        <w:rFonts w:ascii="Wingdings" w:hAnsi="Wingdings" w:hint="default"/>
      </w:rPr>
    </w:lvl>
  </w:abstractNum>
  <w:num w:numId="1">
    <w:abstractNumId w:val="16"/>
  </w:num>
  <w:num w:numId="2">
    <w:abstractNumId w:val="19"/>
  </w:num>
  <w:num w:numId="3">
    <w:abstractNumId w:val="21"/>
  </w:num>
  <w:num w:numId="4">
    <w:abstractNumId w:val="30"/>
  </w:num>
  <w:num w:numId="5">
    <w:abstractNumId w:val="12"/>
  </w:num>
  <w:num w:numId="6">
    <w:abstractNumId w:val="22"/>
  </w:num>
  <w:num w:numId="7">
    <w:abstractNumId w:val="27"/>
  </w:num>
  <w:num w:numId="8">
    <w:abstractNumId w:val="18"/>
  </w:num>
  <w:num w:numId="9">
    <w:abstractNumId w:val="14"/>
  </w:num>
  <w:num w:numId="10">
    <w:abstractNumId w:val="34"/>
  </w:num>
  <w:num w:numId="11">
    <w:abstractNumId w:val="3"/>
  </w:num>
  <w:num w:numId="12">
    <w:abstractNumId w:val="1"/>
  </w:num>
  <w:num w:numId="13">
    <w:abstractNumId w:val="8"/>
  </w:num>
  <w:num w:numId="14">
    <w:abstractNumId w:val="32"/>
  </w:num>
  <w:num w:numId="15">
    <w:abstractNumId w:val="15"/>
  </w:num>
  <w:num w:numId="16">
    <w:abstractNumId w:val="21"/>
  </w:num>
  <w:num w:numId="17">
    <w:abstractNumId w:val="33"/>
  </w:num>
  <w:num w:numId="18">
    <w:abstractNumId w:val="20"/>
  </w:num>
  <w:num w:numId="19">
    <w:abstractNumId w:val="36"/>
  </w:num>
  <w:num w:numId="20">
    <w:abstractNumId w:val="12"/>
  </w:num>
  <w:num w:numId="21">
    <w:abstractNumId w:val="4"/>
  </w:num>
  <w:num w:numId="22">
    <w:abstractNumId w:val="26"/>
  </w:num>
  <w:num w:numId="23">
    <w:abstractNumId w:val="5"/>
  </w:num>
  <w:num w:numId="24">
    <w:abstractNumId w:val="37"/>
  </w:num>
  <w:num w:numId="25">
    <w:abstractNumId w:val="7"/>
  </w:num>
  <w:num w:numId="26">
    <w:abstractNumId w:val="13"/>
  </w:num>
  <w:num w:numId="27">
    <w:abstractNumId w:val="29"/>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1"/>
  </w:num>
  <w:num w:numId="39">
    <w:abstractNumId w:val="28"/>
  </w:num>
  <w:num w:numId="40">
    <w:abstractNumId w:val="3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D"/>
    <w:rsid w:val="0000320A"/>
    <w:rsid w:val="00021619"/>
    <w:rsid w:val="0002396A"/>
    <w:rsid w:val="0002635A"/>
    <w:rsid w:val="000530C7"/>
    <w:rsid w:val="00067F06"/>
    <w:rsid w:val="000846D1"/>
    <w:rsid w:val="00096F49"/>
    <w:rsid w:val="000B4663"/>
    <w:rsid w:val="000B6B58"/>
    <w:rsid w:val="000C5668"/>
    <w:rsid w:val="000C6CAE"/>
    <w:rsid w:val="000E7134"/>
    <w:rsid w:val="0012001F"/>
    <w:rsid w:val="00162EED"/>
    <w:rsid w:val="0017310D"/>
    <w:rsid w:val="00191DE6"/>
    <w:rsid w:val="001A4F0E"/>
    <w:rsid w:val="001C6A36"/>
    <w:rsid w:val="001E3E1E"/>
    <w:rsid w:val="00216740"/>
    <w:rsid w:val="00257668"/>
    <w:rsid w:val="00270373"/>
    <w:rsid w:val="002719EF"/>
    <w:rsid w:val="00293248"/>
    <w:rsid w:val="00296D55"/>
    <w:rsid w:val="002B4246"/>
    <w:rsid w:val="002B448D"/>
    <w:rsid w:val="002B4F54"/>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66E76"/>
    <w:rsid w:val="005B0E4B"/>
    <w:rsid w:val="005B11D5"/>
    <w:rsid w:val="005B39B0"/>
    <w:rsid w:val="005C0414"/>
    <w:rsid w:val="005E42C4"/>
    <w:rsid w:val="006028DB"/>
    <w:rsid w:val="00651BFC"/>
    <w:rsid w:val="006534C3"/>
    <w:rsid w:val="006A7418"/>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4C83"/>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C1959"/>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2644</Words>
  <Characters>15073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9</cp:revision>
  <cp:lastPrinted>2020-06-25T07:27:00Z</cp:lastPrinted>
  <dcterms:created xsi:type="dcterms:W3CDTF">2021-05-21T07:18:00Z</dcterms:created>
  <dcterms:modified xsi:type="dcterms:W3CDTF">2021-05-27T12:18:00Z</dcterms:modified>
</cp:coreProperties>
</file>