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0625BDBD" w14:textId="5E0ABC23" w:rsidR="00AA7D5F" w:rsidRPr="0031562F" w:rsidRDefault="00A81CD4" w:rsidP="00A81CD4">
      <w:pPr>
        <w:tabs>
          <w:tab w:val="left" w:pos="5160"/>
        </w:tabs>
        <w:spacing w:before="120"/>
        <w:jc w:val="both"/>
        <w:rPr>
          <w:rFonts w:ascii="Garamond" w:hAnsi="Garamond"/>
        </w:rPr>
      </w:pPr>
      <w:r w:rsidRPr="00A81CD4">
        <w:rPr>
          <w:rFonts w:ascii="Garamond" w:hAnsi="Garamond"/>
          <w:b/>
        </w:rPr>
        <w:t xml:space="preserve">PROCEDURA APERTA A </w:t>
      </w:r>
      <w:r w:rsidR="00754F09">
        <w:rPr>
          <w:rFonts w:ascii="Garamond" w:hAnsi="Garamond"/>
          <w:b/>
        </w:rPr>
        <w:t xml:space="preserve">UNICO </w:t>
      </w:r>
      <w:r w:rsidRPr="00A81CD4">
        <w:rPr>
          <w:rFonts w:ascii="Garamond" w:hAnsi="Garamond"/>
          <w:b/>
        </w:rPr>
        <w:t>LOTT</w:t>
      </w:r>
      <w:r w:rsidR="00754F09">
        <w:rPr>
          <w:rFonts w:ascii="Garamond" w:hAnsi="Garamond"/>
          <w:b/>
        </w:rPr>
        <w:t>O</w:t>
      </w:r>
      <w:r w:rsidRPr="00A81CD4">
        <w:rPr>
          <w:rFonts w:ascii="Garamond" w:hAnsi="Garamond"/>
          <w:b/>
        </w:rPr>
        <w:t xml:space="preserve"> PER L’AFFIDAMENTO </w:t>
      </w:r>
      <w:r w:rsidR="00754F09">
        <w:rPr>
          <w:rFonts w:ascii="Garamond" w:hAnsi="Garamond"/>
          <w:b/>
        </w:rPr>
        <w:t xml:space="preserve">DEL SERVIZIO DI ELABORAZIONE DELLE BUSTE PAGA E DEI CONSEGUENTI ADEMPIMENTI PREVIDENZIALI, FISCALI E CONTABILI PER DIPENDENTI E ASSIMILATI DELL’UNIONE COLLINE MATILDICHE E COMUNI ADERENTI CIG: </w:t>
      </w:r>
      <w:r w:rsidR="0099057C" w:rsidRPr="0099057C">
        <w:rPr>
          <w:rFonts w:ascii="Garamond" w:hAnsi="Garamond"/>
          <w:b/>
        </w:rPr>
        <w:t>8757483796</w:t>
      </w:r>
      <w:r w:rsidRPr="00A81CD4">
        <w:rPr>
          <w:rFonts w:ascii="Garamond" w:hAnsi="Garamond"/>
          <w:b/>
        </w:rPr>
        <w:t xml:space="preserve"> - CPV </w:t>
      </w:r>
      <w:r w:rsidR="00754F09" w:rsidRPr="00754F09">
        <w:rPr>
          <w:rFonts w:ascii="Garamond" w:hAnsi="Garamond"/>
          <w:b/>
        </w:rPr>
        <w:t>79631000-6 “</w:t>
      </w:r>
      <w:r w:rsidR="00754F09">
        <w:rPr>
          <w:rFonts w:ascii="Garamond" w:hAnsi="Garamond"/>
          <w:b/>
        </w:rPr>
        <w:t>SERVIZI DI PERSONALE E DI FOGLIO PAGA</w:t>
      </w:r>
      <w:r w:rsidR="00754F09" w:rsidRPr="00754F09">
        <w:rPr>
          <w:rFonts w:ascii="Garamond" w:hAnsi="Garamond"/>
          <w:b/>
        </w:rPr>
        <w:t>”</w:t>
      </w:r>
    </w:p>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con codice fiscale: ………</w:t>
      </w:r>
      <w:proofErr w:type="gramStart"/>
      <w:r w:rsidRPr="0031562F">
        <w:rPr>
          <w:rFonts w:ascii="Garamond" w:hAnsi="Garamond"/>
        </w:rPr>
        <w:t>…….</w:t>
      </w:r>
      <w:proofErr w:type="gramEnd"/>
      <w:r w:rsidRPr="0031562F">
        <w:rPr>
          <w:rFonts w:ascii="Garamond" w:hAnsi="Garamond"/>
        </w:rPr>
        <w:t>.……….…..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w:t>
      </w:r>
      <w:r w:rsidRPr="0031562F">
        <w:rPr>
          <w:rFonts w:ascii="Garamond" w:hAnsi="Garamond"/>
          <w:sz w:val="24"/>
          <w:szCs w:val="24"/>
          <w:lang w:val="it-IT"/>
        </w:rPr>
        <w:lastRenderedPageBreak/>
        <w:t>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lastRenderedPageBreak/>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w:t>
      </w:r>
      <w:proofErr w:type="gramStart"/>
      <w:r w:rsidRPr="0031562F">
        <w:rPr>
          <w:rFonts w:ascii="Garamond" w:eastAsia="Tahoma" w:hAnsi="Garamond"/>
          <w:szCs w:val="24"/>
        </w:rPr>
        <w:t>capofila  per</w:t>
      </w:r>
      <w:proofErr w:type="gramEnd"/>
      <w:r w:rsidRPr="0031562F">
        <w:rPr>
          <w:rFonts w:ascii="Garamond" w:eastAsia="Tahoma" w:hAnsi="Garamond"/>
          <w:szCs w:val="24"/>
        </w:rPr>
        <w:t xml:space="preserve">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w:t>
      </w:r>
      <w:r w:rsidRPr="000430E1">
        <w:rPr>
          <w:rFonts w:ascii="Garamond" w:eastAsiaTheme="minorEastAsia" w:hAnsi="Garamond" w:cstheme="minorBidi"/>
          <w:color w:val="000000" w:themeColor="text1"/>
        </w:rPr>
        <w:lastRenderedPageBreak/>
        <w:t>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w:t>
      </w:r>
      <w:r w:rsidRPr="0031562F">
        <w:rPr>
          <w:rFonts w:ascii="Garamond" w:hAnsi="Garamond"/>
        </w:rPr>
        <w:lastRenderedPageBreak/>
        <w:t>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AD7D98">
        <w:rPr>
          <w:rFonts w:ascii="Garamond" w:hAnsi="Garamond"/>
          <w:sz w:val="22"/>
          <w:szCs w:val="22"/>
          <w:lang w:val="it-IT"/>
        </w:rPr>
        <w:t>E’</w:t>
      </w:r>
      <w:proofErr w:type="gramEnd"/>
      <w:r w:rsidRPr="00AD7D98">
        <w:rPr>
          <w:rFonts w:ascii="Garamond" w:hAnsi="Garamond"/>
          <w:sz w:val="22"/>
          <w:szCs w:val="22"/>
          <w:lang w:val="it-IT"/>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w:t>
      </w:r>
      <w:proofErr w:type="gramStart"/>
      <w:r w:rsidRPr="00983A21">
        <w:rPr>
          <w:rFonts w:ascii="Garamond" w:hAnsi="Garamond" w:cstheme="minorHAnsi"/>
          <w:sz w:val="22"/>
          <w:szCs w:val="22"/>
          <w:lang w:val="it-IT"/>
        </w:rPr>
        <w:t>quota  desumibile</w:t>
      </w:r>
      <w:proofErr w:type="gramEnd"/>
      <w:r w:rsidRPr="00983A21">
        <w:rPr>
          <w:rFonts w:ascii="Garamond" w:hAnsi="Garamond" w:cstheme="minorHAnsi"/>
          <w:sz w:val="22"/>
          <w:szCs w:val="22"/>
          <w:lang w:val="it-IT"/>
        </w:rPr>
        <w:t xml:space="preserv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rPr>
        <w:t>componenti  dovrà</w:t>
      </w:r>
      <w:proofErr w:type="gramEnd"/>
      <w:r w:rsidRPr="002548D1">
        <w:rPr>
          <w:rFonts w:ascii="Garamond" w:eastAsiaTheme="minorEastAsia" w:hAnsi="Garamond" w:cstheme="minorHAnsi"/>
          <w:sz w:val="22"/>
          <w:szCs w:val="22"/>
        </w:rPr>
        <w:t xml:space="preserve">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eastAsia="it-IT"/>
        </w:rPr>
        <w:t>componenti  dovrà</w:t>
      </w:r>
      <w:proofErr w:type="gramEnd"/>
      <w:r w:rsidRPr="002548D1">
        <w:rPr>
          <w:rFonts w:ascii="Garamond" w:eastAsiaTheme="minorEastAsia" w:hAnsi="Garamond" w:cstheme="minorHAnsi"/>
          <w:sz w:val="22"/>
          <w:szCs w:val="22"/>
          <w:lang w:val="it-IT" w:eastAsia="it-IT"/>
        </w:rPr>
        <w:t xml:space="preserve">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rPr>
        <w:t>componenti  dovrà</w:t>
      </w:r>
      <w:proofErr w:type="gramEnd"/>
      <w:r w:rsidRPr="002548D1">
        <w:rPr>
          <w:rFonts w:ascii="Garamond" w:eastAsiaTheme="minorEastAsia" w:hAnsi="Garamond" w:cstheme="minorHAnsi"/>
          <w:sz w:val="22"/>
          <w:szCs w:val="22"/>
          <w:lang w:val="it-IT"/>
        </w:rPr>
        <w:t xml:space="preserve">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150C4"/>
    <w:rsid w:val="000226CF"/>
    <w:rsid w:val="000430E1"/>
    <w:rsid w:val="00064E28"/>
    <w:rsid w:val="000825D7"/>
    <w:rsid w:val="00093491"/>
    <w:rsid w:val="00112F88"/>
    <w:rsid w:val="001339F9"/>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83A21"/>
    <w:rsid w:val="0099057C"/>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1719</Words>
  <Characters>9801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22</cp:revision>
  <cp:lastPrinted>2020-06-25T07:23:00Z</cp:lastPrinted>
  <dcterms:created xsi:type="dcterms:W3CDTF">2020-04-28T09:30:00Z</dcterms:created>
  <dcterms:modified xsi:type="dcterms:W3CDTF">2021-05-21T07:39:00Z</dcterms:modified>
</cp:coreProperties>
</file>